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E27CC">
      <w:pPr>
        <w:pStyle w:val="Tekstpodstawowy3"/>
        <w:rPr>
          <w:color w:val="0000FF"/>
        </w:rPr>
      </w:pPr>
      <w:r>
        <w:rPr>
          <w:color w:val="0000FF"/>
        </w:rPr>
        <w:t>POMORSKA SPECJALNA STREFA EKONOMICZNA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</w:p>
    <w:p w:rsidR="00000000" w:rsidRDefault="00CE27CC">
      <w:pPr>
        <w:pStyle w:val="Nagwek1"/>
        <w:numPr>
          <w:ilvl w:val="0"/>
          <w:numId w:val="26"/>
        </w:numPr>
        <w:rPr>
          <w:color w:val="0000FF"/>
        </w:rPr>
      </w:pPr>
      <w:r>
        <w:rPr>
          <w:color w:val="0000FF"/>
        </w:rPr>
        <w:t>Informacja o Pomorskiej Specjalnej Strefie Ekonomicznej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 xml:space="preserve">Na podstawie Rozporządzenia Rady Ministrów z dnia </w:t>
      </w:r>
      <w:r>
        <w:rPr>
          <w:u w:val="single"/>
        </w:rPr>
        <w:t>11 lipca 2001 r</w:t>
      </w:r>
      <w:r>
        <w:t>. - w wyniku połączenia dwóch Specjalnych Stref Ekonomicznych "Tczew" i "Żarnowiec" - powstała</w:t>
      </w:r>
      <w:r>
        <w:t xml:space="preserve"> Pomorska Specjalna Strefa Ekonomiczna (PSSE), która obejmuje grunty o powierzchni 348,37 ha, zlokalizowane w województwie pomorskim, na terenie </w:t>
      </w:r>
      <w:proofErr w:type="spellStart"/>
      <w:r>
        <w:t>Kartoszyna</w:t>
      </w:r>
      <w:proofErr w:type="spellEnd"/>
      <w:r>
        <w:t>, Kwidzyna, Starogardu Gdańskiego, Tczewa, Malborka, Sztumu, Chojnic i Człuchowa.</w:t>
      </w:r>
    </w:p>
    <w:p w:rsidR="00000000" w:rsidRDefault="00CE27CC">
      <w:pPr>
        <w:spacing w:line="240" w:lineRule="auto"/>
      </w:pPr>
      <w:r>
        <w:t>Okres funkcjonowani</w:t>
      </w:r>
      <w:r>
        <w:t xml:space="preserve">a Strefy ustalony jest do dnia </w:t>
      </w:r>
      <w:r>
        <w:rPr>
          <w:u w:val="single"/>
        </w:rPr>
        <w:t>30 listopada 2017 r.</w:t>
      </w:r>
    </w:p>
    <w:p w:rsidR="00000000" w:rsidRDefault="00CE27CC">
      <w:pPr>
        <w:spacing w:line="240" w:lineRule="auto"/>
      </w:pPr>
      <w:r>
        <w:t xml:space="preserve">Likwidacja wysokiego bezrobocia poprzez utworzenie nowych miejsc pracy oraz rozwój produkcji w nowych dziedzinach przemysłu na terenie miasta Tczewa, a także efektywne wykorzystanie istniejących budynków </w:t>
      </w:r>
      <w:r>
        <w:t xml:space="preserve">i infrastruktury oraz zagospodarowanie terenów </w:t>
      </w:r>
      <w:r>
        <w:br/>
        <w:t>po przerwanej budowie Elektrowni Jądrowej "Żarnowiec" stanowiły przesłanki ustanowienia w 1997 r. Specjalnej Strefy Ekonomicznej "Tczew" i Specjalnej Strefy Ekonomicznej "Żarnowiec". Cele te zamierzano osiągn</w:t>
      </w:r>
      <w:r>
        <w:t>ąć m. in. poprzez efektywne zarządzanie powierzonymi terenami i mieniem, zachęcanie przedsiębiorców zainteresowanych lokowaniem nowych przedsięwzięć inwestycyjnych na terenie Strefy oraz udzielanie długoterminowych zwolnień i ulg podatkowych inwestorom pod</w:t>
      </w:r>
      <w:r>
        <w:t xml:space="preserve">ejmującym działalność gospodarczą na terenie Strefy. </w:t>
      </w:r>
    </w:p>
    <w:p w:rsidR="00000000" w:rsidRDefault="00CE27CC">
      <w:pPr>
        <w:spacing w:line="240" w:lineRule="auto"/>
      </w:pPr>
      <w:r>
        <w:t>Wyznaczone w 1997 r. cele są w pełni realizowane do chwili obecnej. Do końca 2002 r. udzielono łącznie 64 zezwolenia na prowadzenie działalności gospodarczej na terenie Pomorskiej Specjalnej Strefy Ekon</w:t>
      </w:r>
      <w:r>
        <w:t xml:space="preserve">omicznej. Zgodnie z warunkami wydanych zezwoleń przewiduje się, że do końca 2004 roku łączne nakłady inwestycyjne wyniosą ponad 800 mln. złotych i utworzonych zostanie co najmniej 4.000 ¸ 6.000 nowych miejsc pracy. </w:t>
      </w:r>
    </w:p>
    <w:p w:rsidR="00000000" w:rsidRDefault="00CE27CC">
      <w:pPr>
        <w:spacing w:line="240" w:lineRule="auto"/>
      </w:pPr>
      <w:r>
        <w:t>Poważne problemy związane ze wzrostem be</w:t>
      </w:r>
      <w:r>
        <w:t>zrobocia oraz konieczność restrukturyzacji zakładów przemysłowych spowodowały powiększenie obszaru Pomorskiej Specjalnej Strefy Ekonomicznej o nowe tereny położone w Kwidzynie, Starogardzie Gdańskim, Malborku, Sztumie, Człuchowie i Chojnicach.</w:t>
      </w:r>
    </w:p>
    <w:p w:rsidR="00000000" w:rsidRDefault="00CE27CC">
      <w:pPr>
        <w:spacing w:line="240" w:lineRule="auto"/>
      </w:pPr>
      <w:r>
        <w:t>Wśród inwest</w:t>
      </w:r>
      <w:r>
        <w:t xml:space="preserve">orów krajowych i zagranicznych, którzy zdecydowali się związać ze Strefą, niewątpliwie wiodącą rolę odgrywa międzynarodowa firma FLEXTRONICS International </w:t>
      </w:r>
      <w:r>
        <w:br/>
        <w:t xml:space="preserve">z siedzibą główną w U.S.A. Zakupiła ona w Tczewie teren o powierzchni 41,72 ha, </w:t>
      </w:r>
      <w:r>
        <w:br/>
        <w:t>na którym buduje sw</w:t>
      </w:r>
      <w:r>
        <w:t xml:space="preserve">ój park przemysłowy. Do połowy 2001 r. oddano do użytku dwie </w:t>
      </w:r>
      <w:r>
        <w:br/>
        <w:t>hale produkcyjne o łącznej powierzchni użytkowej ponad 40.000 m</w:t>
      </w:r>
      <w:r>
        <w:rPr>
          <w:vertAlign w:val="superscript"/>
        </w:rPr>
        <w:t>2</w:t>
      </w:r>
      <w:r>
        <w:t>, w których przy produkcji najnowocześniejszych zespołów i podzespołów elektronicznych zatrudnienie znalazło około 1.000 osób. . D</w:t>
      </w:r>
      <w:r>
        <w:t xml:space="preserve">rugim co do wielkości inwestorem zagranicznym w Strefie jest PHILIPS </w:t>
      </w:r>
      <w:proofErr w:type="spellStart"/>
      <w:r>
        <w:t>Consumers</w:t>
      </w:r>
      <w:proofErr w:type="spellEnd"/>
      <w:r>
        <w:t xml:space="preserve"> Electronics </w:t>
      </w:r>
      <w:proofErr w:type="spellStart"/>
      <w:r>
        <w:t>Industrial</w:t>
      </w:r>
      <w:proofErr w:type="spellEnd"/>
      <w:r>
        <w:t xml:space="preserve"> z siedzibą główną w Holandii, który rozbudowuje istniejącą już w Kwidzynie nowoczesną fabrykę urządzeń elektronicznych powszechnego użytku. Trzecią co do </w:t>
      </w:r>
      <w:r>
        <w:t xml:space="preserve">wielkości nakładów inwestycyjnych jest międzynarodowa firma GEMPLUS, posiadająca swój wiodący ośrodek produkcyjny we Francji, która na przełomie 2001/2002r. uruchomiła w Tczewie produkcję kart mikroprocesorowych najnowszej generacji na potrzeby klientów z </w:t>
      </w:r>
      <w:r>
        <w:t>całej Europy.</w:t>
      </w:r>
    </w:p>
    <w:p w:rsidR="00000000" w:rsidRDefault="00CE27CC">
      <w:pPr>
        <w:pStyle w:val="Tekstpodstawowy"/>
      </w:pPr>
    </w:p>
    <w:p w:rsidR="00000000" w:rsidRDefault="00CE27CC">
      <w:pPr>
        <w:pStyle w:val="Nagwek2"/>
      </w:pPr>
      <w:r>
        <w:lastRenderedPageBreak/>
        <w:t xml:space="preserve">Lokalizacja Pomorskiej Specjalnej Strefy Ekonomicznej </w:t>
      </w:r>
    </w:p>
    <w:p w:rsidR="00000000" w:rsidRDefault="00CE27CC">
      <w:pPr>
        <w:pStyle w:val="Tekstpodstawowy2"/>
        <w:rPr>
          <w:b w:val="0"/>
        </w:rPr>
      </w:pPr>
      <w:r>
        <w:rPr>
          <w:b w:val="0"/>
        </w:rPr>
        <w:t>Pomorska Specjalna Strefa Ekonomiczna obejmuje grunty położone na terenie gmin: Krokowa, Gniewino, Człuchów, Chojnice, Tczew, miasta Tczew, miasta Kwidzyn, miasta Starogard Gdański, mias</w:t>
      </w:r>
      <w:r>
        <w:rPr>
          <w:b w:val="0"/>
        </w:rPr>
        <w:t xml:space="preserve">ta Malbork i miasta Sztum. </w:t>
      </w:r>
    </w:p>
    <w:p w:rsidR="00000000" w:rsidRDefault="00CE27CC">
      <w:pPr>
        <w:pStyle w:val="Tekstpodstawowy"/>
      </w:pPr>
    </w:p>
    <w:p w:rsidR="00000000" w:rsidRDefault="00CE27CC">
      <w:pPr>
        <w:pStyle w:val="Tekstpodstawowy"/>
        <w:rPr>
          <w:sz w:val="28"/>
        </w:rPr>
      </w:pPr>
      <w:r>
        <w:rPr>
          <w:sz w:val="28"/>
        </w:rPr>
        <w:t>Teren Chojnice</w:t>
      </w:r>
    </w:p>
    <w:p w:rsidR="00000000" w:rsidRDefault="00CE27CC">
      <w:pPr>
        <w:numPr>
          <w:ilvl w:val="0"/>
          <w:numId w:val="21"/>
        </w:numPr>
        <w:spacing w:line="240" w:lineRule="auto"/>
      </w:pPr>
      <w:r>
        <w:t>Lokalizacja: gmina wiejska Chojnice, powiat Chojnicki, sąsiedztwo drogi krajowej nr 22</w:t>
      </w:r>
    </w:p>
    <w:p w:rsidR="00000000" w:rsidRDefault="00CE27CC">
      <w:pPr>
        <w:numPr>
          <w:ilvl w:val="0"/>
          <w:numId w:val="21"/>
        </w:numPr>
        <w:spacing w:line="240" w:lineRule="auto"/>
      </w:pPr>
      <w:r>
        <w:t>Całkowita powierzchnia: 15 ha</w:t>
      </w:r>
    </w:p>
    <w:p w:rsidR="00000000" w:rsidRDefault="00CE27CC">
      <w:pPr>
        <w:numPr>
          <w:ilvl w:val="0"/>
          <w:numId w:val="21"/>
        </w:numPr>
        <w:spacing w:line="240" w:lineRule="auto"/>
      </w:pPr>
      <w:r>
        <w:t>Infrastruktura techniczna: energia elektryczna, woda</w:t>
      </w:r>
    </w:p>
    <w:p w:rsidR="00000000" w:rsidRDefault="00CE27CC">
      <w:pPr>
        <w:numPr>
          <w:ilvl w:val="0"/>
          <w:numId w:val="21"/>
        </w:numPr>
        <w:spacing w:line="240" w:lineRule="auto"/>
      </w:pPr>
      <w:r>
        <w:t>Powierzchnia do zagospodarowania: 15 ha</w:t>
      </w:r>
    </w:p>
    <w:p w:rsidR="00000000" w:rsidRDefault="00CE27CC">
      <w:pPr>
        <w:pStyle w:val="Tekstpodstawowy"/>
      </w:pPr>
    </w:p>
    <w:p w:rsidR="00000000" w:rsidRDefault="00CE27CC">
      <w:pPr>
        <w:pStyle w:val="Tekstpodstawowy"/>
      </w:pPr>
    </w:p>
    <w:p w:rsidR="00000000" w:rsidRDefault="00CE27CC">
      <w:pPr>
        <w:pStyle w:val="Nagwek1"/>
        <w:numPr>
          <w:ilvl w:val="0"/>
          <w:numId w:val="26"/>
        </w:numPr>
        <w:rPr>
          <w:color w:val="0000FF"/>
        </w:rPr>
      </w:pPr>
      <w:r>
        <w:rPr>
          <w:color w:val="0000FF"/>
        </w:rPr>
        <w:t>Warunki prowadzenia działalności gospodarczej na terenie Pomorskiej Specjalnej strefy Ekonomicznej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 xml:space="preserve">Warunki prowadzenia działalności gospodarczej na terenie Pomorskiej Specjalnej Strefy Ekonomicznej określają przepisy ustawy z dnia 20 października 1994 r. </w:t>
      </w:r>
      <w:r>
        <w:t>o specjalnych strefach ekonomicznych oraz przepisy ustawy z dnia 27 lipca 2002 r. o warunkach dopuszczalności i nadzorowaniu pomocy publicznej dla przedsiębiorców wraz z wydanymi do nich przepisami wykonawczymi.</w:t>
      </w:r>
    </w:p>
    <w:p w:rsidR="00000000" w:rsidRDefault="00CE27CC">
      <w:pPr>
        <w:spacing w:line="240" w:lineRule="auto"/>
      </w:pPr>
      <w:r>
        <w:t>Zgodnie z przywołanymi powyżej przepisami, z</w:t>
      </w:r>
      <w:r>
        <w:t xml:space="preserve">ezwolenie na prowadzenie działalności gospodarczej na terenie Strefy, udzielone przez zarządzającego strefą, uprawnia przedsiębiorcę do korzystania z pomocy publicznej. </w:t>
      </w:r>
    </w:p>
    <w:p w:rsidR="00000000" w:rsidRDefault="00CE27CC">
      <w:pPr>
        <w:spacing w:line="240" w:lineRule="auto"/>
      </w:pPr>
      <w:r>
        <w:t xml:space="preserve">Zezwolenie, udzielane po przeprowadzeniu przetargu lub rokowań podjętych na podstawie </w:t>
      </w:r>
      <w:r>
        <w:t>publicznego zaproszenia, określa przedmiot działalności gospodarczej oraz warunki dotyczące w szczególności:</w:t>
      </w:r>
    </w:p>
    <w:p w:rsidR="00000000" w:rsidRDefault="00CE27CC">
      <w:pPr>
        <w:numPr>
          <w:ilvl w:val="0"/>
          <w:numId w:val="1"/>
        </w:numPr>
        <w:spacing w:line="240" w:lineRule="auto"/>
      </w:pPr>
      <w:r>
        <w:t>dokonania przez przedsiębiorcę inwestycji na terenie strefy o wartości przewyższającej określoną kwotę,</w:t>
      </w:r>
    </w:p>
    <w:p w:rsidR="00000000" w:rsidRDefault="00CE27CC">
      <w:pPr>
        <w:numPr>
          <w:ilvl w:val="0"/>
          <w:numId w:val="1"/>
        </w:numPr>
        <w:spacing w:line="240" w:lineRule="auto"/>
      </w:pPr>
      <w:r>
        <w:t>zatrudnienia przez przedsiębiorcę przy prow</w:t>
      </w:r>
      <w:r>
        <w:t>adzeniu działalności gospodarczej na terenie strefy przez określony czas określonej liczby pracowników.</w:t>
      </w:r>
    </w:p>
    <w:p w:rsidR="00000000" w:rsidRDefault="00CE27CC">
      <w:pPr>
        <w:numPr>
          <w:ilvl w:val="0"/>
          <w:numId w:val="1"/>
        </w:numPr>
        <w:spacing w:line="240" w:lineRule="auto"/>
      </w:pPr>
      <w:r>
        <w:t xml:space="preserve">Przedsiębiorcom prowadzącym działalność gospodarczą na terenie Pomorskiej Specjalnej Strefy Ekonomicznej na podstawie zezwolenia przysługuje zwolnienie </w:t>
      </w:r>
      <w:r>
        <w:t>od podatku dochodowego z tytułu:</w:t>
      </w:r>
    </w:p>
    <w:p w:rsidR="00000000" w:rsidRDefault="00CE27CC">
      <w:pPr>
        <w:numPr>
          <w:ilvl w:val="0"/>
          <w:numId w:val="1"/>
        </w:numPr>
        <w:spacing w:line="240" w:lineRule="auto"/>
      </w:pPr>
      <w:r>
        <w:t xml:space="preserve">określonych w zezwoleniu wydatków inwestycyjnych </w:t>
      </w:r>
    </w:p>
    <w:p w:rsidR="00000000" w:rsidRDefault="00CE27CC">
      <w:pPr>
        <w:spacing w:line="240" w:lineRule="auto"/>
      </w:pPr>
      <w:r>
        <w:t>lub</w:t>
      </w:r>
    </w:p>
    <w:p w:rsidR="00000000" w:rsidRDefault="00CE27CC">
      <w:pPr>
        <w:numPr>
          <w:ilvl w:val="0"/>
          <w:numId w:val="2"/>
        </w:numPr>
        <w:spacing w:line="240" w:lineRule="auto"/>
      </w:pPr>
      <w:r>
        <w:t>określonego w zezwoleniu poziomu zatrudnienia.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>Wielkość dochodu podlegającego zwolnieniu od podatku dochodowego oblicza się jako iloraz wielkości pomocy publicznej i st</w:t>
      </w:r>
      <w:r>
        <w:t>awki podatku dochodowego obowiązującej w dniu wydania zezwolenia.</w:t>
      </w:r>
    </w:p>
    <w:p w:rsidR="00000000" w:rsidRDefault="00CE27CC">
      <w:pPr>
        <w:spacing w:line="240" w:lineRule="auto"/>
      </w:pPr>
      <w:r>
        <w:t>Zwolnienie przysługuje począwszy od miesiąca, w którym przedsiębiorca poniósł wydatki inwestycyjne lub koszty pracy, aż do wyczerpania.</w:t>
      </w:r>
    </w:p>
    <w:p w:rsidR="00000000" w:rsidRDefault="00CE27CC">
      <w:pPr>
        <w:spacing w:line="240" w:lineRule="auto"/>
      </w:pPr>
      <w:r>
        <w:t>Zezwolenie wygasa z upływem okresu, na jaki została us</w:t>
      </w:r>
      <w:r>
        <w:t>tanowiona strefa lub w dniu wyczerpania przysługującego przedsiębiorcy zwolnienia, o którym mowa powyżej.</w:t>
      </w:r>
      <w:r w:rsidR="00681B77">
        <w:t xml:space="preserve"> </w:t>
      </w:r>
      <w:r>
        <w:t>Zezwolenie nie jest wydawane na prowadzenie działalności gospodarczej w zakresie:</w:t>
      </w:r>
    </w:p>
    <w:p w:rsidR="00000000" w:rsidRDefault="00CE27CC">
      <w:pPr>
        <w:numPr>
          <w:ilvl w:val="0"/>
          <w:numId w:val="4"/>
        </w:numPr>
        <w:spacing w:line="240" w:lineRule="auto"/>
      </w:pPr>
      <w:r>
        <w:lastRenderedPageBreak/>
        <w:t xml:space="preserve">wytwarzania materiałów wybuchowych, wyrobów tytoniowych, wyrobu, </w:t>
      </w:r>
      <w:r>
        <w:t xml:space="preserve">rozlewu </w:t>
      </w:r>
      <w:r>
        <w:br/>
        <w:t>i przetwarzania spirytusu oraz napojów alkoholowych, a także przetwarzania paliw silnikowych,</w:t>
      </w:r>
    </w:p>
    <w:p w:rsidR="00000000" w:rsidRDefault="00CE27CC">
      <w:pPr>
        <w:numPr>
          <w:ilvl w:val="0"/>
          <w:numId w:val="4"/>
        </w:numPr>
        <w:spacing w:line="240" w:lineRule="auto"/>
      </w:pPr>
      <w:r>
        <w:t>prowadzenia ośrodków gier losowych, zakładów wzajemnych i gier na automatach,</w:t>
      </w:r>
    </w:p>
    <w:p w:rsidR="00000000" w:rsidRDefault="00CE27CC">
      <w:pPr>
        <w:numPr>
          <w:ilvl w:val="0"/>
          <w:numId w:val="4"/>
        </w:numPr>
        <w:spacing w:line="240" w:lineRule="auto"/>
      </w:pPr>
      <w:r>
        <w:t>usług instalowania, napraw, konserwacji i remontu maszyn i urządzeń wykorzy</w:t>
      </w:r>
      <w:r>
        <w:t>stywanych do prowadzenia działalności gospodarczej na terenie strefy oraz przedmiotów osobistego użytku,</w:t>
      </w:r>
    </w:p>
    <w:p w:rsidR="00000000" w:rsidRDefault="00CE27CC">
      <w:pPr>
        <w:numPr>
          <w:ilvl w:val="0"/>
          <w:numId w:val="4"/>
        </w:numPr>
        <w:spacing w:line="240" w:lineRule="auto"/>
      </w:pPr>
      <w:r>
        <w:t>robót budowlanych określonych w sekcji F Polskiej Klasyfikacji Wyrobów i Usług (dalej: PKWiU),</w:t>
      </w:r>
    </w:p>
    <w:p w:rsidR="00000000" w:rsidRDefault="00CE27CC">
      <w:pPr>
        <w:numPr>
          <w:ilvl w:val="0"/>
          <w:numId w:val="4"/>
        </w:numPr>
        <w:spacing w:line="240" w:lineRule="auto"/>
      </w:pPr>
      <w:r>
        <w:t>usług w zakresie handlu hurtowego i detalicznego, napraw</w:t>
      </w:r>
      <w:r>
        <w:t>y pojazdów mechanicznych oraz artykułów użytku osobistego i domowego, usług hoteli i restauracji,</w:t>
      </w:r>
    </w:p>
    <w:p w:rsidR="00000000" w:rsidRDefault="00CE27CC">
      <w:pPr>
        <w:numPr>
          <w:ilvl w:val="0"/>
          <w:numId w:val="4"/>
        </w:numPr>
        <w:spacing w:line="240" w:lineRule="auto"/>
      </w:pPr>
      <w:r>
        <w:t xml:space="preserve">usług pośrednictwa finansowego oraz usług związanych z nieruchomościami, wynajmem, nauką i prowadzeniem działalności gospodarczej, określonych w sekcjach J i </w:t>
      </w:r>
      <w:r>
        <w:t>K PKWiU , z wyjątkiem działu 72, działu 73 grupy 73.1 oraz działu 74 grupy 74.3,</w:t>
      </w:r>
    </w:p>
    <w:p w:rsidR="00000000" w:rsidRDefault="00CE27CC">
      <w:pPr>
        <w:numPr>
          <w:ilvl w:val="0"/>
          <w:numId w:val="4"/>
        </w:numPr>
        <w:spacing w:line="240" w:lineRule="auto"/>
      </w:pPr>
      <w:r>
        <w:t>usług w zakresie administracji publicznej, obrony narodowej, obowiązkowych ubezpieczeń społecznych, edukacji, ochrony zdrowia i opieki społecznej, usług komunalnych pozostałyc</w:t>
      </w:r>
      <w:r>
        <w:t xml:space="preserve">h, społecznych i indywidualnych, usług świadczonych </w:t>
      </w:r>
      <w:r>
        <w:br/>
        <w:t>w gospodarstwach domowych, usług świadczonych przez organizacje i zespoły eksterytorialne, określonych w sekcjach L-Q PKWiU,</w:t>
      </w:r>
    </w:p>
    <w:p w:rsidR="00000000" w:rsidRDefault="00CE27CC">
      <w:pPr>
        <w:numPr>
          <w:ilvl w:val="0"/>
          <w:numId w:val="4"/>
        </w:numPr>
        <w:spacing w:line="240" w:lineRule="auto"/>
      </w:pPr>
      <w:r>
        <w:t>działalności gospodarczej, na prowadzenie której jest wymagane posiadanie konc</w:t>
      </w:r>
      <w:r>
        <w:t>esji, zgodnie z art. 32 ust. 1 ustawy z dnia 10 kwietnia 1997 r. - prawo energetyczne.</w:t>
      </w:r>
    </w:p>
    <w:p w:rsidR="00000000" w:rsidRDefault="00CE27CC">
      <w:pPr>
        <w:spacing w:line="240" w:lineRule="auto"/>
      </w:pPr>
    </w:p>
    <w:p w:rsidR="00000000" w:rsidRDefault="00CE27CC">
      <w:pPr>
        <w:pStyle w:val="Nagwek1"/>
        <w:numPr>
          <w:ilvl w:val="0"/>
          <w:numId w:val="26"/>
        </w:numPr>
        <w:rPr>
          <w:color w:val="0000FF"/>
        </w:rPr>
      </w:pPr>
      <w:r>
        <w:rPr>
          <w:color w:val="0000FF"/>
        </w:rPr>
        <w:t>Pomoc publiczna dla przedsiębiorców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>Przez pomoc publiczną dla przedsiębiorców należy rozumieć przysporzenie, bezpośrednio lub pośrednio, korzyści finansowych określony</w:t>
      </w:r>
      <w:r>
        <w:t>m przedsiębiorcom, w następstwie czego uprzywilejowuje się ich w stosunku do konkurentów, przede wszystkim w drodze dokonywania na rzecz lub za tych przedsiębiorców wydatków ze środków publicznych lub pomniejszania świadczeń należnych od nich na rzecz sekt</w:t>
      </w:r>
      <w:r>
        <w:t>ora finansów publicznych.</w:t>
      </w:r>
    </w:p>
    <w:p w:rsidR="00000000" w:rsidRDefault="00CE27CC">
      <w:pPr>
        <w:spacing w:line="240" w:lineRule="auto"/>
      </w:pPr>
      <w:r>
        <w:t>Przez pomoc regionalną należy rozumieć pomoc, której podstawowym warunkiem udzielenia jest prowadzenie działalności gospodarczej na oznaczonym obszarze.</w:t>
      </w:r>
    </w:p>
    <w:p w:rsidR="00000000" w:rsidRDefault="00CE27CC">
      <w:pPr>
        <w:spacing w:line="240" w:lineRule="auto"/>
      </w:pPr>
      <w:r>
        <w:t>Regionalna pomoc publiczna udzielana jest w formie ulg i zwolnień podatkowych</w:t>
      </w:r>
      <w:r>
        <w:t xml:space="preserve"> przedsiębiorcom, którzy uzyskali zezwolenia na działalność gospodarczą na obszarze Pomorskiej Specjalnej Strefy Ekonomicznej.</w:t>
      </w:r>
    </w:p>
    <w:p w:rsidR="00000000" w:rsidRDefault="00CE27CC">
      <w:pPr>
        <w:spacing w:line="240" w:lineRule="auto"/>
      </w:pPr>
      <w:r>
        <w:t>Przedsiębiorcy działający w Strefie na podstawie zezwolenia są zobligowani do składania informacji o uzyskanej pomocy do Urzędu O</w:t>
      </w:r>
      <w:r>
        <w:t>chrony Konkurencji i Konsumentów.</w:t>
      </w:r>
    </w:p>
    <w:p w:rsidR="00000000" w:rsidRDefault="00CE27CC">
      <w:pPr>
        <w:spacing w:line="240" w:lineRule="auto"/>
      </w:pPr>
    </w:p>
    <w:p w:rsidR="00000000" w:rsidRDefault="00CE27CC">
      <w:pPr>
        <w:pStyle w:val="Nagwek1"/>
        <w:numPr>
          <w:ilvl w:val="0"/>
          <w:numId w:val="26"/>
        </w:numPr>
        <w:rPr>
          <w:color w:val="0000FF"/>
        </w:rPr>
      </w:pPr>
      <w:r>
        <w:rPr>
          <w:color w:val="0000FF"/>
        </w:rPr>
        <w:t>Ulgi i preferencje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>Przedsiębiorca, który spełni warunki określone zezwoleniem będzie mógł uzyskać:</w:t>
      </w:r>
    </w:p>
    <w:p w:rsidR="00000000" w:rsidRDefault="00CE27CC">
      <w:pPr>
        <w:numPr>
          <w:ilvl w:val="0"/>
          <w:numId w:val="5"/>
        </w:numPr>
        <w:spacing w:line="240" w:lineRule="auto"/>
      </w:pPr>
      <w:r>
        <w:t xml:space="preserve">zwrot nakładów inwestycyjnych - w formie zwolnień od podatku dochodowego - </w:t>
      </w:r>
      <w:r>
        <w:br/>
        <w:t>w wysokości określonej wskaźnikiem intensywno</w:t>
      </w:r>
      <w:r>
        <w:t xml:space="preserve">ści pomocy przysługującej dla danego regionu przy zastosowaniu standardowej struktury kosztów, tj. w kwocie nie wyższej niż 50 % początkowych nakładów inwestycyjnych. Jeśli przedsiębiorca jest małym lub średnim przedsiębiorcą w rozumieniu ustawy z dnia 19 </w:t>
      </w:r>
      <w:r>
        <w:t xml:space="preserve">listopada 1999 r. - Prawo </w:t>
      </w:r>
      <w:r>
        <w:lastRenderedPageBreak/>
        <w:t>działalności gospodarczej, maksymalną wielkość pomocy podwyższa się o 15 punktów procentowych w stosunku do maksymalnej intensywności określonej dla danego obszaru,</w:t>
      </w:r>
    </w:p>
    <w:p w:rsidR="00000000" w:rsidRDefault="00CE27CC">
      <w:pPr>
        <w:spacing w:line="240" w:lineRule="auto"/>
      </w:pPr>
      <w:r>
        <w:t>lub</w:t>
      </w:r>
    </w:p>
    <w:p w:rsidR="00000000" w:rsidRDefault="00CE27CC">
      <w:pPr>
        <w:numPr>
          <w:ilvl w:val="0"/>
          <w:numId w:val="5"/>
        </w:numPr>
        <w:spacing w:line="240" w:lineRule="auto"/>
      </w:pPr>
      <w:r>
        <w:t>zwrot - w formie zwolnienia od podatku dochodowego - wydatków</w:t>
      </w:r>
      <w:r>
        <w:t xml:space="preserve"> na płace brutto, powiększone o wszystkie obowiązujące płatności, ponoszone przez inwestora </w:t>
      </w:r>
      <w:r>
        <w:br/>
        <w:t xml:space="preserve">w ciągu 2 lat od momentu osiągnięcia zatrudnienia określonego w zezwoleniu </w:t>
      </w:r>
      <w:r>
        <w:br/>
        <w:t xml:space="preserve">w wysokości nie większej niż określa to wskaźnik maksymalnej intensywności pomocy, tj. </w:t>
      </w:r>
      <w:r>
        <w:t>do 50 % poniesionych wydatków. Maksymalną wielkość pomocy podwyższa się odpowiednio o 15 punktów procentowych jeśli przedsiębiorca jest małym lub średnim przedsiębiorcą w rozumieniu ustawy.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>Przedsiębiorca ma prawo wyboru i sam określa z jakiego tytułu chc</w:t>
      </w:r>
      <w:r>
        <w:t>e korzystać z pomocy publicznej - czy z tytułu poniesionych nakładów inwestycyjnych, czy z tytułu utworzenia nowych miejsc pracy związanych z daną inwestycją.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</w:p>
    <w:p w:rsidR="00000000" w:rsidRDefault="00CE27CC">
      <w:pPr>
        <w:pStyle w:val="Nagwek1"/>
        <w:numPr>
          <w:ilvl w:val="0"/>
          <w:numId w:val="26"/>
        </w:numPr>
        <w:rPr>
          <w:color w:val="0000FF"/>
        </w:rPr>
      </w:pPr>
      <w:r>
        <w:rPr>
          <w:color w:val="0000FF"/>
        </w:rPr>
        <w:t>Pomoc na wspieranie nowych inwestycji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>Przedsiębiorca inwestujący na obszarze Pomorskiej Specja</w:t>
      </w:r>
      <w:r>
        <w:t>lnej Strefie Ekonomicznej może uzyskać pomoc publiczną w wysokości do 50 % poniesionych nakładów inwestycyjnych przy minimalnej wysokości inwestycji wynoszącej 100.000 euro oraz pod warunkiem prowadzenia działalności wynikającej z zezwolenia i zachowania p</w:t>
      </w:r>
      <w:r>
        <w:t xml:space="preserve">rawa własności do składników majątkowych, z którymi związane były wydatki inwestycyjne przez co najmniej 5 lat. </w:t>
      </w:r>
    </w:p>
    <w:p w:rsidR="00000000" w:rsidRDefault="00CE27CC">
      <w:pPr>
        <w:spacing w:line="240" w:lineRule="auto"/>
      </w:pPr>
      <w:r>
        <w:t>Zwolnienie przysługuje począwszy od miesiąca, w którym przedsiębiorca poniósł wydatki inwestycyjne, aż do wyczerpania regionalnej pomocy inwest</w:t>
      </w:r>
      <w:r>
        <w:t xml:space="preserve">ycyjnej, pod warunkiem, </w:t>
      </w:r>
      <w:r>
        <w:br/>
        <w:t>że nie przeniesie w jakiejkolwiek formie własności składników majątku, z którymi były związane wydatki inwestycyjne - przez okres 5 lat od dnia ich wprowadzenia do ewidencji środków trwałych oraz wartości niematerialnych i prawnych</w:t>
      </w:r>
      <w:r>
        <w:t xml:space="preserve">, w rozumieniu przepisów </w:t>
      </w:r>
      <w:r>
        <w:br/>
        <w:t>o podatku dochodowym.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</w:p>
    <w:p w:rsidR="00000000" w:rsidRDefault="00CE27CC">
      <w:pPr>
        <w:pStyle w:val="Nagwek1"/>
        <w:numPr>
          <w:ilvl w:val="0"/>
          <w:numId w:val="26"/>
        </w:numPr>
        <w:rPr>
          <w:color w:val="0000FF"/>
        </w:rPr>
      </w:pPr>
      <w:r>
        <w:rPr>
          <w:color w:val="0000FF"/>
        </w:rPr>
        <w:t>Pomoc na tworzenie nowych miejsc pracy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>W przypadku tworzenia nowych miejsc pracy związanych z inwestycją, przedsiębiorca może uzyskać zwrot - w formie zwolnienia od podatku dochodowego - w wysokości nie wi</w:t>
      </w:r>
      <w:r>
        <w:t>ększej niż 50 % wartości ponoszonych przez przedsiębiorcę dwuletnich kosztów pracy nowo zatrudnianych pracowników, na które składają się koszty płacy brutto pracowników powiększone o wszystkie obowiązkowe płatności związane z ich zatrudnianiem - pod warunk</w:t>
      </w:r>
      <w:r>
        <w:t xml:space="preserve">iem, że utworzone nowe miejsca pracy zostaną utrzymane przez okres co najmniej </w:t>
      </w:r>
      <w:r>
        <w:br/>
        <w:t xml:space="preserve">5 lat. </w:t>
      </w:r>
    </w:p>
    <w:p w:rsidR="00000000" w:rsidRDefault="00CE27CC">
      <w:pPr>
        <w:spacing w:line="240" w:lineRule="auto"/>
      </w:pPr>
      <w:r>
        <w:t>Zwolnienie przysługuje począwszy od miesiąca, w którym przedsiębiorca poniósł koszty pracy, aż do wyczerpania regionalnej pomocy na zatrudnienie, pod warunkiem utrzyman</w:t>
      </w:r>
      <w:r>
        <w:t>ia nowo utworzonych miejsc pracy przez okres 5 lat.</w:t>
      </w:r>
    </w:p>
    <w:p w:rsidR="00000000" w:rsidRDefault="00CE27CC">
      <w:pPr>
        <w:spacing w:line="240" w:lineRule="auto"/>
      </w:pPr>
    </w:p>
    <w:p w:rsidR="00000000" w:rsidRDefault="00CE27CC">
      <w:pPr>
        <w:pStyle w:val="Nagwek1"/>
        <w:numPr>
          <w:ilvl w:val="0"/>
          <w:numId w:val="26"/>
        </w:numPr>
        <w:rPr>
          <w:color w:val="0000FF"/>
        </w:rPr>
      </w:pPr>
      <w:r>
        <w:rPr>
          <w:color w:val="0000FF"/>
        </w:rPr>
        <w:t>Inne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lastRenderedPageBreak/>
        <w:t>Niezależnie od podanych powyżej ulg, istnieją dodatkowe możliwości wsparcia finansowego inwestorów, obejmujące:</w:t>
      </w:r>
    </w:p>
    <w:p w:rsidR="00000000" w:rsidRDefault="00CE27CC">
      <w:pPr>
        <w:numPr>
          <w:ilvl w:val="0"/>
          <w:numId w:val="7"/>
        </w:numPr>
        <w:spacing w:line="240" w:lineRule="auto"/>
      </w:pPr>
      <w:r>
        <w:t>Możliwość zwolnienia z podatku od nieruchomości,</w:t>
      </w:r>
    </w:p>
    <w:p w:rsidR="00000000" w:rsidRDefault="00CE27CC">
      <w:pPr>
        <w:numPr>
          <w:ilvl w:val="0"/>
          <w:numId w:val="7"/>
        </w:numPr>
        <w:spacing w:line="240" w:lineRule="auto"/>
      </w:pPr>
      <w:r>
        <w:t>Kredytowanie tworzenia nowych miejsc</w:t>
      </w:r>
      <w:r>
        <w:t xml:space="preserve"> pracy,</w:t>
      </w:r>
    </w:p>
    <w:p w:rsidR="00000000" w:rsidRDefault="00CE27CC">
      <w:pPr>
        <w:numPr>
          <w:ilvl w:val="0"/>
          <w:numId w:val="7"/>
        </w:numPr>
        <w:spacing w:line="240" w:lineRule="auto"/>
      </w:pPr>
      <w:r>
        <w:t>Refundacja części kosztów wynagrodzenia przy zatrudnianiu bezrobotnych absolwentów,</w:t>
      </w:r>
    </w:p>
    <w:p w:rsidR="00000000" w:rsidRDefault="00CE27CC">
      <w:pPr>
        <w:numPr>
          <w:ilvl w:val="0"/>
          <w:numId w:val="7"/>
        </w:numPr>
        <w:spacing w:line="240" w:lineRule="auto"/>
      </w:pPr>
      <w:r>
        <w:t>Refundacja części kosztów wynagrodzenia przy zatrudnieniu bezrobotnych,</w:t>
      </w:r>
    </w:p>
    <w:p w:rsidR="00000000" w:rsidRDefault="00CE27CC">
      <w:pPr>
        <w:numPr>
          <w:ilvl w:val="0"/>
          <w:numId w:val="7"/>
        </w:numPr>
        <w:spacing w:line="240" w:lineRule="auto"/>
      </w:pPr>
      <w:r>
        <w:t>Finansowanie „programów specjalnych”,</w:t>
      </w:r>
    </w:p>
    <w:p w:rsidR="00000000" w:rsidRDefault="00CE27CC">
      <w:pPr>
        <w:numPr>
          <w:ilvl w:val="0"/>
          <w:numId w:val="7"/>
        </w:numPr>
        <w:spacing w:line="240" w:lineRule="auto"/>
      </w:pPr>
      <w:r>
        <w:t>Finansowanie kosztów szkoleń indywidualnych i grupowyc</w:t>
      </w:r>
      <w:r>
        <w:t>h dla bezrobotnych, którzy zostaną zatrudnieni.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rPr>
          <w:u w:val="single"/>
        </w:rPr>
        <w:t>Pomoc publiczna z tytułu nakładów inwestycyjnych</w:t>
      </w:r>
    </w:p>
    <w:p w:rsidR="00000000" w:rsidRDefault="00CE27CC">
      <w:pPr>
        <w:spacing w:line="240" w:lineRule="auto"/>
      </w:pPr>
      <w:r>
        <w:t>Jeżeli przedsiębiorca poniesie łączne nakłady inwestycyjne np. w wysokości 40 mln PLN, przy czym</w:t>
      </w:r>
    </w:p>
    <w:p w:rsidR="00000000" w:rsidRDefault="00CE27CC">
      <w:pPr>
        <w:spacing w:line="240" w:lineRule="auto"/>
      </w:pPr>
    </w:p>
    <w:p w:rsidR="00000000" w:rsidRDefault="00CE27CC">
      <w:pPr>
        <w:numPr>
          <w:ilvl w:val="0"/>
          <w:numId w:val="17"/>
        </w:numPr>
        <w:spacing w:line="240" w:lineRule="auto"/>
      </w:pPr>
      <w:r>
        <w:t>na zakup gruntu w wysokości 5 mln PLN,</w:t>
      </w:r>
    </w:p>
    <w:p w:rsidR="00000000" w:rsidRDefault="00CE27CC">
      <w:pPr>
        <w:numPr>
          <w:ilvl w:val="0"/>
          <w:numId w:val="17"/>
        </w:numPr>
        <w:spacing w:line="240" w:lineRule="auto"/>
      </w:pPr>
      <w:r>
        <w:t xml:space="preserve">na budynki i budowle </w:t>
      </w:r>
      <w:r>
        <w:t>w wysokości 10 mln PLN,</w:t>
      </w:r>
    </w:p>
    <w:p w:rsidR="00000000" w:rsidRDefault="00CE27CC">
      <w:pPr>
        <w:numPr>
          <w:ilvl w:val="0"/>
          <w:numId w:val="17"/>
        </w:numPr>
        <w:spacing w:line="240" w:lineRule="auto"/>
      </w:pPr>
      <w:r>
        <w:t>na wyposażenie w wysokości 25 mln PLN,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>to stosując - zgodnie z Rozporządzeniem Rady Ministrów z dnia 20.02.2001 r. w sprawie pomocy regionalnej dla przedsiębiorców - standardową strukturę kosztów, będzie on mógł zaliczyć do kosztów</w:t>
      </w:r>
      <w:r>
        <w:t xml:space="preserve"> inwestycyjnych, kwalifikujących się do objęcia pomocą publiczną</w:t>
      </w:r>
    </w:p>
    <w:p w:rsidR="00000000" w:rsidRDefault="00CE27CC">
      <w:pPr>
        <w:numPr>
          <w:ilvl w:val="0"/>
          <w:numId w:val="9"/>
        </w:numPr>
        <w:spacing w:line="240" w:lineRule="auto"/>
      </w:pPr>
      <w:r>
        <w:t>koszty nabycia gruntu w wysokości nie wyższej niż 5 % całkowitych kosztów inwestycji,</w:t>
      </w:r>
    </w:p>
    <w:p w:rsidR="00000000" w:rsidRDefault="00CE27CC">
      <w:pPr>
        <w:numPr>
          <w:ilvl w:val="0"/>
          <w:numId w:val="9"/>
        </w:numPr>
        <w:spacing w:line="240" w:lineRule="auto"/>
      </w:pPr>
      <w:r>
        <w:t>nakłady na budynki i budowle w wysokości nie wyższej niż 40 % całkowitych kosztów inwestycji,</w:t>
      </w:r>
    </w:p>
    <w:p w:rsidR="00000000" w:rsidRDefault="00CE27CC">
      <w:pPr>
        <w:numPr>
          <w:ilvl w:val="0"/>
          <w:numId w:val="9"/>
        </w:numPr>
        <w:spacing w:line="240" w:lineRule="auto"/>
      </w:pPr>
      <w:r>
        <w:t xml:space="preserve">nakłady na </w:t>
      </w:r>
      <w:r>
        <w:t>wyposażenie nowych obiektów w wysokości nie wyższej niż 70 % całkowitych kosztów inwestycji,</w:t>
      </w:r>
    </w:p>
    <w:p w:rsidR="00000000" w:rsidRDefault="00CE27CC">
      <w:pPr>
        <w:spacing w:line="240" w:lineRule="auto"/>
      </w:pPr>
      <w:r>
        <w:t>przy czym suma procentowych udziałów składników kosztów kwalifikujących się do objęcia pomocą nie może przekroczyć 100 %.</w:t>
      </w:r>
    </w:p>
    <w:p w:rsidR="00000000" w:rsidRDefault="00CE27CC">
      <w:pPr>
        <w:spacing w:line="240" w:lineRule="auto"/>
      </w:pPr>
      <w:r>
        <w:t>Zatem, do kosztów inwestycji kwalifikując</w:t>
      </w:r>
      <w:r>
        <w:t>ych się do objęcia pomocą publiczną inwestor mógłby zaliczyć następujące koszty standardowe:</w:t>
      </w:r>
    </w:p>
    <w:p w:rsidR="00000000" w:rsidRDefault="00CE27CC">
      <w:pPr>
        <w:spacing w:line="240" w:lineRule="auto"/>
      </w:pPr>
    </w:p>
    <w:p w:rsidR="00000000" w:rsidRDefault="00CE27CC">
      <w:pPr>
        <w:numPr>
          <w:ilvl w:val="0"/>
          <w:numId w:val="18"/>
        </w:numPr>
        <w:spacing w:line="240" w:lineRule="auto"/>
      </w:pPr>
      <w:r>
        <w:t>koszty nabycia gruntu 40 mln PLN x 5 % = 2 mln PLN</w:t>
      </w:r>
    </w:p>
    <w:p w:rsidR="00000000" w:rsidRDefault="00CE27CC">
      <w:pPr>
        <w:numPr>
          <w:ilvl w:val="0"/>
          <w:numId w:val="18"/>
        </w:numPr>
        <w:spacing w:line="240" w:lineRule="auto"/>
      </w:pPr>
      <w:r>
        <w:t>nakłady na budynki i budowle 40 mln PLN x 40 % = 16 mln PLN</w:t>
      </w:r>
    </w:p>
    <w:p w:rsidR="00000000" w:rsidRDefault="00CE27CC">
      <w:pPr>
        <w:numPr>
          <w:ilvl w:val="0"/>
          <w:numId w:val="18"/>
        </w:numPr>
        <w:spacing w:line="240" w:lineRule="auto"/>
      </w:pPr>
      <w:r>
        <w:t xml:space="preserve">nakłady na wyposażenie nowych obiektów: 40 mln PLN </w:t>
      </w:r>
      <w:r>
        <w:t>x 70 % = 28 mln PLN</w:t>
      </w:r>
    </w:p>
    <w:p w:rsidR="00000000" w:rsidRDefault="00CE27CC">
      <w:pPr>
        <w:spacing w:line="240" w:lineRule="auto"/>
      </w:pPr>
      <w:r>
        <w:t>Razem: 46 mln PLN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>Ponieważ suma kosztów standardowych jest większa od rzeczywistych łącznych nakładów inwestycyjnych, za koszty kwalifikujące się do objęcia pomocą publiczną będą uznane:</w:t>
      </w:r>
    </w:p>
    <w:p w:rsidR="00000000" w:rsidRDefault="00CE27CC">
      <w:pPr>
        <w:spacing w:line="240" w:lineRule="auto"/>
      </w:pPr>
    </w:p>
    <w:p w:rsidR="00000000" w:rsidRDefault="00CE27CC">
      <w:pPr>
        <w:numPr>
          <w:ilvl w:val="0"/>
          <w:numId w:val="19"/>
        </w:numPr>
        <w:spacing w:line="240" w:lineRule="auto"/>
      </w:pPr>
      <w:r>
        <w:t>koszty nabycia gruntu 2 mln PLN</w:t>
      </w:r>
    </w:p>
    <w:p w:rsidR="00000000" w:rsidRDefault="00CE27CC">
      <w:pPr>
        <w:numPr>
          <w:ilvl w:val="0"/>
          <w:numId w:val="19"/>
        </w:numPr>
        <w:spacing w:line="240" w:lineRule="auto"/>
      </w:pPr>
      <w:r>
        <w:t>nakłady na budy</w:t>
      </w:r>
      <w:r>
        <w:t>nki i budowle 10 mln PLN</w:t>
      </w:r>
    </w:p>
    <w:p w:rsidR="00000000" w:rsidRDefault="00CE27CC">
      <w:pPr>
        <w:numPr>
          <w:ilvl w:val="0"/>
          <w:numId w:val="19"/>
        </w:numPr>
        <w:spacing w:line="240" w:lineRule="auto"/>
      </w:pPr>
      <w:r>
        <w:t>nakłady na wyposażenie nowych obiektów 25 mln PLN</w:t>
      </w:r>
    </w:p>
    <w:p w:rsidR="00000000" w:rsidRDefault="00CE27CC">
      <w:pPr>
        <w:spacing w:line="240" w:lineRule="auto"/>
      </w:pPr>
      <w:r>
        <w:t>Razem: 37 mln PLN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 xml:space="preserve">Regionalna pomoc publiczna w formie zwolnienia od podatku dochodowego wyniesie </w:t>
      </w:r>
      <w:r>
        <w:br/>
        <w:t>18,5 mln PLN (maksymalny wskaźnik intensywności pomocy = 50 %), a w przypadku małe</w:t>
      </w:r>
      <w:r>
        <w:t xml:space="preserve">go </w:t>
      </w:r>
      <w:r>
        <w:lastRenderedPageBreak/>
        <w:t>lub średniego przedsiębiorstwa - 24,05 mln PLN (maksymalny wskaźnik intensywności pomocy = 65 %).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rPr>
          <w:u w:val="single"/>
        </w:rPr>
        <w:t>Pomoc publiczna z tytułu tworzenia nowych miejsc pracy</w:t>
      </w:r>
    </w:p>
    <w:p w:rsidR="00000000" w:rsidRDefault="00CE27CC">
      <w:pPr>
        <w:spacing w:line="240" w:lineRule="auto"/>
      </w:pPr>
      <w:r>
        <w:t xml:space="preserve">Jeżeli w wyniku nowej inwestycji przedsiębiorca w ciągu 2 lat zatrudni 100 osób </w:t>
      </w:r>
      <w:r>
        <w:br/>
        <w:t xml:space="preserve">i poniesie koszty </w:t>
      </w:r>
      <w:r>
        <w:t xml:space="preserve">pracy nowo zatrudnionych pracowników w wysokości 4,8 mln PLN </w:t>
      </w:r>
      <w:r>
        <w:br/>
        <w:t xml:space="preserve">( 100 osób x 2.000,- PLN/m-c x 24 miesiące ), to przy maksymalnym wskaźniku intensywności pomocy = 50 % uzyska on pomoc publiczną w formie zwolnienia </w:t>
      </w:r>
      <w:r>
        <w:br/>
        <w:t>z podatku dochodowego w kwocie 2,4 mln PLN,</w:t>
      </w:r>
      <w:r>
        <w:t xml:space="preserve"> a w przypadku małego lub średniego przedsiębiorstwa - 3,12 mln PLN (maksymalny wskaźnik intensywności pomocy = </w:t>
      </w:r>
      <w:r>
        <w:br/>
        <w:t>65 %).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</w:p>
    <w:p w:rsidR="00000000" w:rsidRDefault="00CE27CC">
      <w:pPr>
        <w:pStyle w:val="Nagwek1"/>
        <w:numPr>
          <w:ilvl w:val="0"/>
          <w:numId w:val="26"/>
        </w:numPr>
        <w:rPr>
          <w:color w:val="0000FF"/>
        </w:rPr>
      </w:pPr>
      <w:r>
        <w:rPr>
          <w:color w:val="0000FF"/>
        </w:rPr>
        <w:t>Poszukiwane branże i inwestorzy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>Zgodnie z planem rozwoju Pomorskiej Specjalnej Strefy Ekonomicznej, preferowani są przedsiębiorcy zam</w:t>
      </w:r>
      <w:r>
        <w:t>ierzający uruchomić działalność gospodarczą w takich dziedzinach jak:</w:t>
      </w:r>
    </w:p>
    <w:p w:rsidR="00000000" w:rsidRDefault="00CE27CC">
      <w:pPr>
        <w:numPr>
          <w:ilvl w:val="0"/>
          <w:numId w:val="14"/>
        </w:numPr>
        <w:spacing w:line="240" w:lineRule="auto"/>
      </w:pPr>
      <w:r>
        <w:t>przemysł elektro-maszynowy,</w:t>
      </w:r>
    </w:p>
    <w:p w:rsidR="00000000" w:rsidRDefault="00CE27CC">
      <w:pPr>
        <w:numPr>
          <w:ilvl w:val="0"/>
          <w:numId w:val="14"/>
        </w:numPr>
        <w:spacing w:line="240" w:lineRule="auto"/>
      </w:pPr>
      <w:r>
        <w:t>produkcja materiałów, elementów i urządzeń elektronicznych,</w:t>
      </w:r>
    </w:p>
    <w:p w:rsidR="00000000" w:rsidRDefault="00CE27CC">
      <w:pPr>
        <w:numPr>
          <w:ilvl w:val="0"/>
          <w:numId w:val="14"/>
        </w:numPr>
        <w:spacing w:line="240" w:lineRule="auto"/>
      </w:pPr>
      <w:r>
        <w:t>produkcja i montaż elementów i urządzeń telekomunikacyjnych,</w:t>
      </w:r>
    </w:p>
    <w:p w:rsidR="00000000" w:rsidRDefault="00CE27CC">
      <w:pPr>
        <w:numPr>
          <w:ilvl w:val="0"/>
          <w:numId w:val="14"/>
        </w:numPr>
        <w:spacing w:line="240" w:lineRule="auto"/>
      </w:pPr>
      <w:r>
        <w:t>oprogramowanie i przetwarzanie danych</w:t>
      </w:r>
      <w:r>
        <w:t>,</w:t>
      </w:r>
    </w:p>
    <w:p w:rsidR="00000000" w:rsidRDefault="00CE27CC">
      <w:pPr>
        <w:numPr>
          <w:ilvl w:val="0"/>
          <w:numId w:val="14"/>
        </w:numPr>
        <w:spacing w:line="240" w:lineRule="auto"/>
      </w:pPr>
      <w:r>
        <w:t>prace badawczo-rozwojowe w dziedzinie nauk przyrodniczych i technicznych,</w:t>
      </w:r>
    </w:p>
    <w:p w:rsidR="00000000" w:rsidRDefault="00CE27CC">
      <w:pPr>
        <w:numPr>
          <w:ilvl w:val="0"/>
          <w:numId w:val="14"/>
        </w:numPr>
        <w:spacing w:line="240" w:lineRule="auto"/>
      </w:pPr>
      <w:r>
        <w:t>przemysł farmaceutyczny, chemiczny i biotechnologiczny,</w:t>
      </w:r>
    </w:p>
    <w:p w:rsidR="00000000" w:rsidRDefault="00CE27CC">
      <w:pPr>
        <w:numPr>
          <w:ilvl w:val="0"/>
          <w:numId w:val="14"/>
        </w:numPr>
        <w:spacing w:line="240" w:lineRule="auto"/>
      </w:pPr>
      <w:r>
        <w:t>produkcja i montaż sprzętu medycznego,</w:t>
      </w:r>
    </w:p>
    <w:p w:rsidR="00000000" w:rsidRDefault="00CE27CC">
      <w:pPr>
        <w:numPr>
          <w:ilvl w:val="0"/>
          <w:numId w:val="14"/>
        </w:numPr>
        <w:spacing w:line="240" w:lineRule="auto"/>
      </w:pPr>
      <w:r>
        <w:t>przemysł przetwórstwa rolno-spożywczego,</w:t>
      </w:r>
    </w:p>
    <w:p w:rsidR="00000000" w:rsidRDefault="00CE27CC">
      <w:pPr>
        <w:numPr>
          <w:ilvl w:val="0"/>
          <w:numId w:val="14"/>
        </w:numPr>
        <w:spacing w:line="240" w:lineRule="auto"/>
      </w:pPr>
      <w:r>
        <w:t>przemysł materiałów budowlanych,</w:t>
      </w:r>
    </w:p>
    <w:p w:rsidR="00000000" w:rsidRDefault="00CE27CC">
      <w:pPr>
        <w:numPr>
          <w:ilvl w:val="0"/>
          <w:numId w:val="14"/>
        </w:numPr>
        <w:spacing w:line="240" w:lineRule="auto"/>
      </w:pPr>
      <w:r>
        <w:t>produkcja o</w:t>
      </w:r>
      <w:r>
        <w:t>pakowań różnego rodzaju.</w:t>
      </w:r>
    </w:p>
    <w:p w:rsidR="00000000" w:rsidRDefault="00CE27CC">
      <w:pPr>
        <w:spacing w:line="240" w:lineRule="auto"/>
      </w:pPr>
      <w:r>
        <w:t xml:space="preserve">Preferowana również będzie działalność produkcyjna oraz badawczo-rozwojowa w innych dziedzinach, gwarantujących zastosowanie nowoczesnych rozwiązań technicznych </w:t>
      </w:r>
      <w:r>
        <w:br/>
        <w:t xml:space="preserve">i technologicznych. </w:t>
      </w:r>
    </w:p>
    <w:p w:rsidR="00000000" w:rsidRDefault="00CE27CC">
      <w:pPr>
        <w:spacing w:line="240" w:lineRule="auto"/>
      </w:pPr>
      <w:r>
        <w:t>Atrakcyjne warunki oferowane będą inwestorom pla</w:t>
      </w:r>
      <w:r>
        <w:t xml:space="preserve">nującym uruchomienie działalności produkcyjnej lub badawczo - rozwojowej w sektorze tzw. zaawansowanych technologii </w:t>
      </w:r>
      <w:r>
        <w:br/>
        <w:t xml:space="preserve">(high </w:t>
      </w:r>
      <w:proofErr w:type="spellStart"/>
      <w:r>
        <w:t>tech</w:t>
      </w:r>
      <w:proofErr w:type="spellEnd"/>
      <w:r>
        <w:t>), dla których planuje się utworzenie Parku Technologicznego na terenach Pomorskiej Specjalnej Strefy Ekonomicznej.</w:t>
      </w:r>
    </w:p>
    <w:p w:rsidR="00000000" w:rsidRDefault="00CE27CC">
      <w:pPr>
        <w:spacing w:line="240" w:lineRule="auto"/>
      </w:pPr>
    </w:p>
    <w:p w:rsidR="00000000" w:rsidRDefault="00CE27CC">
      <w:pPr>
        <w:pStyle w:val="Nagwek1"/>
        <w:numPr>
          <w:ilvl w:val="0"/>
          <w:numId w:val="26"/>
        </w:numPr>
        <w:rPr>
          <w:color w:val="0000FF"/>
        </w:rPr>
      </w:pPr>
      <w:r>
        <w:rPr>
          <w:color w:val="0000FF"/>
        </w:rPr>
        <w:t>Wykaz podsta</w:t>
      </w:r>
      <w:r>
        <w:rPr>
          <w:color w:val="0000FF"/>
        </w:rPr>
        <w:t>wowych aktów prawnych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>Najważniejsze akty prawne stanowiące i normalizujące funkcjonowanie Pomorskiej Specjalnej Strefy Ekonomicznej wyszczególniono poniżej:</w:t>
      </w:r>
    </w:p>
    <w:p w:rsidR="00000000" w:rsidRDefault="00CE27CC">
      <w:pPr>
        <w:numPr>
          <w:ilvl w:val="0"/>
          <w:numId w:val="15"/>
        </w:numPr>
        <w:spacing w:line="240" w:lineRule="auto"/>
      </w:pPr>
      <w:r>
        <w:t xml:space="preserve">Ustawa z dnia 20 października 1994 r. o specjalnych strefach ekonomicznych (Dz. U. </w:t>
      </w:r>
      <w:r>
        <w:br/>
        <w:t>Nr 123, poz. 6</w:t>
      </w:r>
      <w:r>
        <w:t>00 wraz z późniejszymi zmianami)</w:t>
      </w:r>
    </w:p>
    <w:p w:rsidR="00000000" w:rsidRDefault="00CE27CC">
      <w:pPr>
        <w:numPr>
          <w:ilvl w:val="0"/>
          <w:numId w:val="15"/>
        </w:numPr>
        <w:spacing w:line="240" w:lineRule="auto"/>
      </w:pPr>
      <w:r>
        <w:t xml:space="preserve">Ustawa z dnia 19 listopada 1999 r. - Prawo działalności gospodarczej (Dz. U. Nr 101, </w:t>
      </w:r>
      <w:r>
        <w:br/>
        <w:t>poz. 1178)</w:t>
      </w:r>
    </w:p>
    <w:p w:rsidR="00000000" w:rsidRDefault="00CE27CC">
      <w:pPr>
        <w:numPr>
          <w:ilvl w:val="0"/>
          <w:numId w:val="15"/>
        </w:numPr>
        <w:spacing w:line="240" w:lineRule="auto"/>
      </w:pPr>
      <w:r>
        <w:t>Ustawa z dnia 27 lipca 2002 r. o warunkach dopuszczalności i nadzorowaniu pomocy publicznej dla przedsiębiorców (Dz. U. Nr 141</w:t>
      </w:r>
      <w:r>
        <w:t>, poz. 1177)</w:t>
      </w:r>
    </w:p>
    <w:p w:rsidR="00000000" w:rsidRDefault="00CE27CC">
      <w:pPr>
        <w:numPr>
          <w:ilvl w:val="0"/>
          <w:numId w:val="15"/>
        </w:numPr>
        <w:spacing w:line="240" w:lineRule="auto"/>
      </w:pPr>
      <w:r>
        <w:lastRenderedPageBreak/>
        <w:t>Rozporządzenie Rady Ministrów z dnia 20 lutego 2001 r. w sprawie pomocy regionalnej dla przedsiębiorców (Dz. U. Nr 28, poz. 306)</w:t>
      </w:r>
    </w:p>
    <w:p w:rsidR="00000000" w:rsidRDefault="00CE27CC">
      <w:pPr>
        <w:numPr>
          <w:ilvl w:val="0"/>
          <w:numId w:val="15"/>
        </w:numPr>
        <w:spacing w:line="240" w:lineRule="auto"/>
      </w:pPr>
      <w:r>
        <w:t xml:space="preserve">Rozporządzenie Rady Ministrów z dnia 13 marca 2001 r. zmieniające rozporządzenie </w:t>
      </w:r>
      <w:r>
        <w:br/>
        <w:t>w sprawie ustanowienia Specjalne</w:t>
      </w:r>
      <w:r>
        <w:t xml:space="preserve">j Strefy Ekonomicznej "Tczew" (Dz. U. Nr 30, </w:t>
      </w:r>
      <w:r>
        <w:br/>
        <w:t>poz. 337)</w:t>
      </w:r>
    </w:p>
    <w:p w:rsidR="00000000" w:rsidRDefault="00CE27CC">
      <w:pPr>
        <w:numPr>
          <w:ilvl w:val="0"/>
          <w:numId w:val="15"/>
        </w:numPr>
        <w:spacing w:line="240" w:lineRule="auto"/>
      </w:pPr>
      <w:r>
        <w:t xml:space="preserve">Rozporządzenie Rady Ministrów z dnia 13 marca 2001 r. zmieniające rozporządzenie </w:t>
      </w:r>
      <w:r>
        <w:br/>
        <w:t xml:space="preserve">w sprawie ustanowienia Specjalnej Strefy Ekonomicznej "Żarnowiec" (Dz. U. Nr 30, </w:t>
      </w:r>
      <w:r>
        <w:br/>
        <w:t>poz. 339)</w:t>
      </w:r>
    </w:p>
    <w:p w:rsidR="00000000" w:rsidRDefault="00CE27CC">
      <w:pPr>
        <w:numPr>
          <w:ilvl w:val="0"/>
          <w:numId w:val="15"/>
        </w:numPr>
        <w:spacing w:line="240" w:lineRule="auto"/>
      </w:pPr>
      <w:r>
        <w:t>Rozporządzenie Rady Minist</w:t>
      </w:r>
      <w:r>
        <w:t>rów z dnia 11 lipca 2001 r. w sprawie połączenia Specjalnej Strefy Ekonomicznej "Tczew" i Specjalnej Strefy Ekonomicznej "Żarnowiec" w specjalną strefę ekonomiczną pod nazwą "Pomorska Specjalna Strefa Ekonomiczna" (Dz. U. Nr 84, poz. 909)</w:t>
      </w:r>
    </w:p>
    <w:p w:rsidR="00000000" w:rsidRDefault="00CE27CC">
      <w:pPr>
        <w:numPr>
          <w:ilvl w:val="0"/>
          <w:numId w:val="15"/>
        </w:numPr>
        <w:spacing w:line="240" w:lineRule="auto"/>
      </w:pPr>
      <w:r>
        <w:t>Rozporządzenie Ra</w:t>
      </w:r>
      <w:r>
        <w:t xml:space="preserve">dy Ministrów z dnia 21 sierpnia 2001 r. zmieniające rozporządzenie </w:t>
      </w:r>
      <w:r>
        <w:br/>
        <w:t>w sprawie połączenia Specjalnej Strefy Ekonomicznej "Tczew" i Specjalnej Strefy Ekonomicznej "Żarnowiec" w specjalną strefę ekonomiczną pod nazwą "Pomorska Specjalna Strefa Ekonomiczna" (D</w:t>
      </w:r>
      <w:r>
        <w:t>z. U. Nr 107, poz. 1178)</w:t>
      </w:r>
    </w:p>
    <w:p w:rsidR="00000000" w:rsidRDefault="00CE27CC">
      <w:pPr>
        <w:numPr>
          <w:ilvl w:val="0"/>
          <w:numId w:val="15"/>
        </w:numPr>
        <w:spacing w:line="240" w:lineRule="auto"/>
      </w:pPr>
      <w:r>
        <w:t xml:space="preserve">Rozporządzenie Ministra Gospodarki z dnia 23 sierpnia 2001 r. w sprawie powierzenia Pomorskiej Specjalnej Strefie Ekonomicznej sp. z o.o. udzielania zezwoleń </w:t>
      </w:r>
      <w:r>
        <w:br/>
        <w:t>na prowadzenie działalności gospodarczej oraz wykonywania bieżącej kontr</w:t>
      </w:r>
      <w:r>
        <w:t>oli działalności przedsiębiorców na terenie Pomorskiej Specjalnej Strefy Ekonomicznej oraz ustalenia zakresu tej kontroli (Dz. U. Nr 101, poz. 1098)</w:t>
      </w:r>
    </w:p>
    <w:p w:rsidR="00000000" w:rsidRDefault="00CE27CC">
      <w:pPr>
        <w:numPr>
          <w:ilvl w:val="0"/>
          <w:numId w:val="15"/>
        </w:numPr>
        <w:spacing w:line="240" w:lineRule="auto"/>
      </w:pPr>
      <w:r>
        <w:t>Rozporządzenie Ministra Gospodarki z dnia 23 sierpnia 2001 r. w sprawie sposobu przeprowadzania, zasad i wa</w:t>
      </w:r>
      <w:r>
        <w:t>runków przetargów lub rokowań oraz kryteriów oceny zamierzeń co do przedsięwzięć gospodarczych, które mają być podjęte przez przedsiębiorców, na terenie Pomorskiej Specjalnej Strefy Ekonomicznej (Dz. U. Nr 101, poz. 1099)</w:t>
      </w:r>
    </w:p>
    <w:p w:rsidR="00000000" w:rsidRDefault="00CE27CC">
      <w:pPr>
        <w:spacing w:line="240" w:lineRule="auto"/>
      </w:pPr>
    </w:p>
    <w:p w:rsidR="00000000" w:rsidRDefault="00CE27CC">
      <w:pPr>
        <w:pStyle w:val="Nagwek1"/>
        <w:numPr>
          <w:ilvl w:val="0"/>
          <w:numId w:val="26"/>
        </w:numPr>
        <w:rPr>
          <w:color w:val="0000FF"/>
        </w:rPr>
      </w:pPr>
      <w:r>
        <w:rPr>
          <w:color w:val="0000FF"/>
        </w:rPr>
        <w:t>Informacja o spółce zarządzającej</w:t>
      </w:r>
    </w:p>
    <w:p w:rsidR="00000000" w:rsidRDefault="00CE27CC">
      <w:pPr>
        <w:spacing w:line="240" w:lineRule="auto"/>
      </w:pPr>
    </w:p>
    <w:p w:rsidR="00000000" w:rsidRDefault="00CE27CC">
      <w:pPr>
        <w:spacing w:line="240" w:lineRule="auto"/>
      </w:pPr>
      <w:r>
        <w:t>Zarządzającym strefą jest Pomorska Specjalna Strefa Ekonomiczna spółka z ograniczoną odpowiedzialnością z siedzibą w Sopocie.</w:t>
      </w:r>
    </w:p>
    <w:p w:rsidR="00000000" w:rsidRDefault="00CE27CC">
      <w:pPr>
        <w:spacing w:line="240" w:lineRule="auto"/>
      </w:pPr>
      <w:r>
        <w:t>Podstawowe dane o spółce zarządzającej:</w:t>
      </w:r>
    </w:p>
    <w:p w:rsidR="00000000" w:rsidRDefault="00CE27CC">
      <w:pPr>
        <w:numPr>
          <w:ilvl w:val="0"/>
          <w:numId w:val="23"/>
        </w:numPr>
        <w:spacing w:line="240" w:lineRule="auto"/>
      </w:pPr>
      <w:r>
        <w:t xml:space="preserve">Rejestr przedsiębiorców: KRS 0033744 </w:t>
      </w:r>
    </w:p>
    <w:p w:rsidR="00000000" w:rsidRDefault="00CE27CC">
      <w:pPr>
        <w:spacing w:line="240" w:lineRule="auto"/>
        <w:ind w:left="426"/>
      </w:pPr>
      <w:r>
        <w:t>(Sąd Rejonowy w Gdańsku, XII Wydział Gospodarczy K</w:t>
      </w:r>
      <w:r>
        <w:t xml:space="preserve">rajowego Rejestru Sądowego) </w:t>
      </w:r>
    </w:p>
    <w:p w:rsidR="00000000" w:rsidRDefault="00CE27CC">
      <w:pPr>
        <w:numPr>
          <w:ilvl w:val="0"/>
          <w:numId w:val="25"/>
        </w:numPr>
        <w:spacing w:line="240" w:lineRule="auto"/>
      </w:pPr>
      <w:r>
        <w:t>REGON: 190315182</w:t>
      </w:r>
    </w:p>
    <w:p w:rsidR="00000000" w:rsidRDefault="00CE27CC">
      <w:pPr>
        <w:numPr>
          <w:ilvl w:val="0"/>
          <w:numId w:val="25"/>
        </w:numPr>
        <w:spacing w:line="240" w:lineRule="auto"/>
      </w:pPr>
      <w:r>
        <w:t>NIP: 588-00-19-192</w:t>
      </w:r>
    </w:p>
    <w:p w:rsidR="00000000" w:rsidRDefault="00CE27CC">
      <w:pPr>
        <w:numPr>
          <w:ilvl w:val="0"/>
          <w:numId w:val="25"/>
        </w:numPr>
        <w:spacing w:line="240" w:lineRule="auto"/>
      </w:pPr>
      <w:r>
        <w:t>Kapitał zakładowy: 53.204.000,- zł.</w:t>
      </w:r>
    </w:p>
    <w:p w:rsidR="00000000" w:rsidRDefault="00CE27CC">
      <w:pPr>
        <w:spacing w:line="240" w:lineRule="auto"/>
      </w:pPr>
      <w:r>
        <w:t>Zarządzający uprawniony jest do udzielania zezwoleń na prowadzenie działalności gospodarczej na obszarze Strefy. Jednocześnie deklaruje on pełną pomoc w za</w:t>
      </w:r>
      <w:r>
        <w:t xml:space="preserve">kresie uzyskania wszelkich zezwoleń </w:t>
      </w:r>
      <w:proofErr w:type="spellStart"/>
      <w:r>
        <w:t>prawno</w:t>
      </w:r>
      <w:proofErr w:type="spellEnd"/>
      <w:r>
        <w:t xml:space="preserve"> - administracyjnych, niezbędnych do realizacji inwestycji na obszarze Pomorskiej Specjalnej Strefy Ekonomicznej.</w:t>
      </w:r>
    </w:p>
    <w:p w:rsidR="00000000" w:rsidRDefault="00CE27CC">
      <w:pPr>
        <w:spacing w:line="240" w:lineRule="auto"/>
      </w:pPr>
      <w:r>
        <w:t>Informacji dotyczących zasad i warunków podejmowania działalności w Strefie udziela Biuro Marketingu</w:t>
      </w:r>
      <w:r>
        <w:t>.</w:t>
      </w:r>
    </w:p>
    <w:p w:rsidR="00000000" w:rsidRDefault="00CE27CC">
      <w:pPr>
        <w:spacing w:line="240" w:lineRule="auto"/>
      </w:pPr>
      <w:r>
        <w:rPr>
          <w:u w:val="single"/>
        </w:rPr>
        <w:t>Adres spółki zarządzającej:</w:t>
      </w:r>
    </w:p>
    <w:p w:rsidR="00000000" w:rsidRDefault="00CE27CC">
      <w:pPr>
        <w:spacing w:line="240" w:lineRule="auto"/>
      </w:pPr>
      <w:r>
        <w:t>Pomorska Specjalna Strefa Ekonomiczna Sp. z o.o.</w:t>
      </w:r>
    </w:p>
    <w:p w:rsidR="00000000" w:rsidRDefault="00CE27CC">
      <w:pPr>
        <w:spacing w:line="240" w:lineRule="auto"/>
      </w:pPr>
      <w:r>
        <w:t>ul. Władysława IV nr 9</w:t>
      </w:r>
    </w:p>
    <w:p w:rsidR="00000000" w:rsidRDefault="00CE27CC">
      <w:pPr>
        <w:pStyle w:val="Nagwek"/>
        <w:tabs>
          <w:tab w:val="clear" w:pos="4536"/>
          <w:tab w:val="clear" w:pos="9072"/>
        </w:tabs>
        <w:spacing w:line="240" w:lineRule="auto"/>
      </w:pPr>
      <w:r>
        <w:lastRenderedPageBreak/>
        <w:t>81-703 Sopot</w:t>
      </w:r>
    </w:p>
    <w:p w:rsidR="00000000" w:rsidRDefault="00CE27CC">
      <w:pPr>
        <w:pStyle w:val="Nagwek"/>
        <w:tabs>
          <w:tab w:val="clear" w:pos="4536"/>
          <w:tab w:val="clear" w:pos="9072"/>
        </w:tabs>
        <w:spacing w:line="240" w:lineRule="auto"/>
      </w:pPr>
      <w:r>
        <w:t>tel.: (0-prefix-58) 5559700</w:t>
      </w:r>
    </w:p>
    <w:p w:rsidR="00000000" w:rsidRDefault="00CE27CC">
      <w:pPr>
        <w:pStyle w:val="Nagwek"/>
        <w:tabs>
          <w:tab w:val="clear" w:pos="4536"/>
          <w:tab w:val="clear" w:pos="9072"/>
        </w:tabs>
        <w:spacing w:line="240" w:lineRule="auto"/>
      </w:pPr>
      <w:r>
        <w:t>fax: (0-prefix-58) 5559711</w:t>
      </w:r>
    </w:p>
    <w:p w:rsidR="00000000" w:rsidRDefault="00CE27CC">
      <w:pPr>
        <w:spacing w:line="240" w:lineRule="auto"/>
        <w:rPr>
          <w:u w:val="single"/>
        </w:rPr>
      </w:pPr>
      <w:bookmarkStart w:id="0" w:name="_Hlt69269351"/>
      <w:r>
        <w:t xml:space="preserve">e-mail:  </w:t>
      </w:r>
      <w:r>
        <w:rPr>
          <w:u w:val="single"/>
        </w:rPr>
        <w:t>headoffice@strefa.gda.pl</w:t>
      </w:r>
      <w:bookmarkEnd w:id="0"/>
    </w:p>
    <w:p w:rsidR="00000000" w:rsidRDefault="00CE27CC">
      <w:pPr>
        <w:spacing w:line="240" w:lineRule="auto"/>
      </w:pPr>
      <w:r>
        <w:rPr>
          <w:u w:val="single"/>
        </w:rPr>
        <w:t>Biuro Marketingu:</w:t>
      </w:r>
    </w:p>
    <w:p w:rsidR="00000000" w:rsidRDefault="00CE27CC">
      <w:pPr>
        <w:spacing w:line="240" w:lineRule="auto"/>
      </w:pPr>
      <w:r>
        <w:t>tel.: (0-prefix-58) 5559717</w:t>
      </w:r>
    </w:p>
    <w:p w:rsidR="00000000" w:rsidRDefault="00CE27CC">
      <w:pPr>
        <w:spacing w:line="240" w:lineRule="auto"/>
      </w:pPr>
      <w:r>
        <w:t>e-mail</w:t>
      </w:r>
      <w:r>
        <w:t xml:space="preserve">: </w:t>
      </w:r>
      <w:hyperlink r:id="rId7" w:history="1">
        <w:r>
          <w:rPr>
            <w:rStyle w:val="Hipercze"/>
            <w:color w:val="auto"/>
          </w:rPr>
          <w:t>marketing@strefa.gda.pl</w:t>
        </w:r>
      </w:hyperlink>
      <w:r>
        <w:t xml:space="preserve"> </w:t>
      </w:r>
      <w:r>
        <w:tab/>
      </w:r>
      <w:hyperlink r:id="rId8" w:history="1">
        <w:r>
          <w:rPr>
            <w:rStyle w:val="Hipercze"/>
            <w:color w:val="auto"/>
          </w:rPr>
          <w:t>marketing@strefa.gda.pl</w:t>
        </w:r>
      </w:hyperlink>
    </w:p>
    <w:p w:rsidR="00CE27CC" w:rsidRDefault="00681B77" w:rsidP="00681B77">
      <w:pPr>
        <w:spacing w:line="240" w:lineRule="auto"/>
      </w:pPr>
      <w:hyperlink r:id="rId9" w:history="1">
        <w:r w:rsidRPr="00681B77">
          <w:rPr>
            <w:rStyle w:val="Hipercze"/>
          </w:rPr>
          <w:t>strona www: Polska Strefa Inwestycji</w:t>
        </w:r>
      </w:hyperlink>
      <w:bookmarkStart w:id="1" w:name="_GoBack"/>
      <w:bookmarkEnd w:id="1"/>
    </w:p>
    <w:sectPr w:rsidR="00CE27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440" w:footer="144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7CC" w:rsidRDefault="00CE27CC">
      <w:pPr>
        <w:spacing w:line="240" w:lineRule="auto"/>
      </w:pPr>
      <w:r>
        <w:separator/>
      </w:r>
    </w:p>
  </w:endnote>
  <w:endnote w:type="continuationSeparator" w:id="0">
    <w:p w:rsidR="00CE27CC" w:rsidRDefault="00CE2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A9" w:rsidRDefault="00B733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A9" w:rsidRDefault="00B733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A9" w:rsidRDefault="00B733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7CC" w:rsidRDefault="00CE27CC">
      <w:pPr>
        <w:spacing w:line="240" w:lineRule="auto"/>
      </w:pPr>
      <w:r>
        <w:separator/>
      </w:r>
    </w:p>
  </w:footnote>
  <w:footnote w:type="continuationSeparator" w:id="0">
    <w:p w:rsidR="00CE27CC" w:rsidRDefault="00CE27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B733A9" w:rsidRDefault="00CE27CC" w:rsidP="00B733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B733A9" w:rsidRDefault="00CE27CC" w:rsidP="00B733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A9" w:rsidRDefault="00B733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CAB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6286B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25B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2C0ECA"/>
    <w:multiLevelType w:val="singleLevel"/>
    <w:tmpl w:val="BE067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0937E7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6B4DEF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A215D0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45506C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FA4D84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2F332F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7C1B99"/>
    <w:multiLevelType w:val="singleLevel"/>
    <w:tmpl w:val="EC8EB1C6"/>
    <w:lvl w:ilvl="0">
      <w:start w:val="1"/>
      <w:numFmt w:val="lowerLetter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11" w15:restartNumberingAfterBreak="0">
    <w:nsid w:val="44397734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7653CB"/>
    <w:multiLevelType w:val="singleLevel"/>
    <w:tmpl w:val="BE067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D2951B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14D43A8"/>
    <w:multiLevelType w:val="singleLevel"/>
    <w:tmpl w:val="BE0675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1AE5724"/>
    <w:multiLevelType w:val="singleLevel"/>
    <w:tmpl w:val="BE067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2A673AE"/>
    <w:multiLevelType w:val="singleLevel"/>
    <w:tmpl w:val="BE067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2A83685"/>
    <w:multiLevelType w:val="singleLevel"/>
    <w:tmpl w:val="9098C2FA"/>
    <w:lvl w:ilvl="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18" w15:restartNumberingAfterBreak="0">
    <w:nsid w:val="55026853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C6511E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8F5C86"/>
    <w:multiLevelType w:val="singleLevel"/>
    <w:tmpl w:val="BE067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CBB1475"/>
    <w:multiLevelType w:val="singleLevel"/>
    <w:tmpl w:val="BE067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53A072A"/>
    <w:multiLevelType w:val="singleLevel"/>
    <w:tmpl w:val="BE067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904556D"/>
    <w:multiLevelType w:val="singleLevel"/>
    <w:tmpl w:val="DE0401A6"/>
    <w:lvl w:ilvl="0">
      <w:start w:val="1"/>
      <w:numFmt w:val="decimal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24" w15:restartNumberingAfterBreak="0">
    <w:nsid w:val="7A9744C4"/>
    <w:multiLevelType w:val="singleLevel"/>
    <w:tmpl w:val="BE067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FD0A73"/>
    <w:multiLevelType w:val="singleLevel"/>
    <w:tmpl w:val="B464DA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5"/>
  </w:num>
  <w:num w:numId="3">
    <w:abstractNumId w:val="2"/>
  </w:num>
  <w:num w:numId="4">
    <w:abstractNumId w:val="23"/>
  </w:num>
  <w:num w:numId="5">
    <w:abstractNumId w:val="17"/>
  </w:num>
  <w:num w:numId="6">
    <w:abstractNumId w:val="10"/>
  </w:num>
  <w:num w:numId="7">
    <w:abstractNumId w:val="18"/>
  </w:num>
  <w:num w:numId="8">
    <w:abstractNumId w:val="4"/>
  </w:num>
  <w:num w:numId="9">
    <w:abstractNumId w:val="14"/>
  </w:num>
  <w:num w:numId="10">
    <w:abstractNumId w:val="12"/>
  </w:num>
  <w:num w:numId="11">
    <w:abstractNumId w:val="21"/>
  </w:num>
  <w:num w:numId="12">
    <w:abstractNumId w:val="22"/>
  </w:num>
  <w:num w:numId="13">
    <w:abstractNumId w:val="3"/>
  </w:num>
  <w:num w:numId="14">
    <w:abstractNumId w:val="5"/>
  </w:num>
  <w:num w:numId="15">
    <w:abstractNumId w:val="7"/>
  </w:num>
  <w:num w:numId="16">
    <w:abstractNumId w:val="6"/>
  </w:num>
  <w:num w:numId="17">
    <w:abstractNumId w:val="24"/>
  </w:num>
  <w:num w:numId="18">
    <w:abstractNumId w:val="20"/>
  </w:num>
  <w:num w:numId="19">
    <w:abstractNumId w:val="15"/>
  </w:num>
  <w:num w:numId="20">
    <w:abstractNumId w:val="16"/>
  </w:num>
  <w:num w:numId="21">
    <w:abstractNumId w:val="8"/>
  </w:num>
  <w:num w:numId="22">
    <w:abstractNumId w:val="1"/>
  </w:num>
  <w:num w:numId="23">
    <w:abstractNumId w:val="11"/>
  </w:num>
  <w:num w:numId="24">
    <w:abstractNumId w:val="19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F0"/>
    <w:rsid w:val="00681B77"/>
    <w:rsid w:val="00B733A9"/>
    <w:rsid w:val="00B737F0"/>
    <w:rsid w:val="00C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outlineLvl w:val="1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">
    <w:name w:val="H1"/>
    <w:basedOn w:val="Normalny"/>
    <w:next w:val="Normalny"/>
    <w:pPr>
      <w:keepNext/>
      <w:spacing w:before="100" w:after="100" w:line="240" w:lineRule="auto"/>
      <w:jc w:val="left"/>
      <w:outlineLvl w:val="1"/>
    </w:pPr>
    <w:rPr>
      <w:b/>
      <w:snapToGrid w:val="0"/>
      <w:kern w:val="36"/>
      <w:sz w:val="48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customStyle="1" w:styleId="H2">
    <w:name w:val="H2"/>
    <w:basedOn w:val="Normalny"/>
    <w:next w:val="Normalny"/>
    <w:pPr>
      <w:keepNext/>
      <w:spacing w:before="100" w:after="100" w:line="240" w:lineRule="auto"/>
      <w:jc w:val="left"/>
      <w:outlineLvl w:val="2"/>
    </w:pPr>
    <w:rPr>
      <w:b/>
      <w:snapToGrid w:val="0"/>
      <w:sz w:val="36"/>
    </w:rPr>
  </w:style>
  <w:style w:type="paragraph" w:styleId="Tekstpodstawowy">
    <w:name w:val="Body Text"/>
    <w:basedOn w:val="Normalny"/>
    <w:semiHidden/>
    <w:pPr>
      <w:spacing w:line="240" w:lineRule="auto"/>
    </w:pPr>
    <w:rPr>
      <w:b/>
      <w:sz w:val="32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podstawowy2">
    <w:name w:val="Body Text 2"/>
    <w:basedOn w:val="Normalny"/>
    <w:semiHidden/>
    <w:pPr>
      <w:spacing w:line="240" w:lineRule="auto"/>
    </w:pPr>
    <w:rPr>
      <w:b/>
    </w:rPr>
  </w:style>
  <w:style w:type="paragraph" w:styleId="Tekstpodstawowy3">
    <w:name w:val="Body Text 3"/>
    <w:basedOn w:val="Normalny"/>
    <w:semiHidden/>
    <w:pPr>
      <w:spacing w:line="240" w:lineRule="auto"/>
      <w:jc w:val="center"/>
    </w:pPr>
    <w:rPr>
      <w:b/>
      <w:sz w:val="4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%20%20%20%20%20marketing@strefa.gd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.gwozdz@strefa.gda.pl?subject=prosz&#281;%20o%20informacje%20o%20PSSE%20C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refa.gda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2674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Links>
    <vt:vector size="18" baseType="variant">
      <vt:variant>
        <vt:i4>4456534</vt:i4>
      </vt:variant>
      <vt:variant>
        <vt:i4>6</vt:i4>
      </vt:variant>
      <vt:variant>
        <vt:i4>0</vt:i4>
      </vt:variant>
      <vt:variant>
        <vt:i4>5</vt:i4>
      </vt:variant>
      <vt:variant>
        <vt:lpwstr>http://www.strefa.gda.pl/</vt:lpwstr>
      </vt:variant>
      <vt:variant>
        <vt:lpwstr/>
      </vt:variant>
      <vt:variant>
        <vt:i4>8126467</vt:i4>
      </vt:variant>
      <vt:variant>
        <vt:i4>3</vt:i4>
      </vt:variant>
      <vt:variant>
        <vt:i4>0</vt:i4>
      </vt:variant>
      <vt:variant>
        <vt:i4>5</vt:i4>
      </vt:variant>
      <vt:variant>
        <vt:lpwstr>mailto:email:     marketing@strefa.gda.pl</vt:lpwstr>
      </vt:variant>
      <vt:variant>
        <vt:lpwstr/>
      </vt:variant>
      <vt:variant>
        <vt:i4>18153482</vt:i4>
      </vt:variant>
      <vt:variant>
        <vt:i4>0</vt:i4>
      </vt:variant>
      <vt:variant>
        <vt:i4>0</vt:i4>
      </vt:variant>
      <vt:variant>
        <vt:i4>5</vt:i4>
      </vt:variant>
      <vt:variant>
        <vt:lpwstr>mailto:e.gwozdz@strefa.gda.pl?subject=proszę%20o%20informacje%20o%20PSSE%20CD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2021-11-09T12:24:00Z</dcterms:created>
  <dcterms:modified xsi:type="dcterms:W3CDTF">2021-11-09T12:26:00Z</dcterms:modified>
</cp:coreProperties>
</file>