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310" w14:textId="77777777" w:rsidR="00186ED5" w:rsidRPr="00225C6A" w:rsidRDefault="00186ED5" w:rsidP="00592785">
      <w:pPr>
        <w:jc w:val="right"/>
      </w:pPr>
      <w:r w:rsidRPr="00225C6A">
        <w:t xml:space="preserve">- projekt </w:t>
      </w:r>
      <w:r w:rsidR="00592785" w:rsidRPr="00225C6A">
        <w:t>-</w:t>
      </w:r>
    </w:p>
    <w:p w14:paraId="38F16711" w14:textId="77777777" w:rsidR="00592785" w:rsidRPr="00225C6A" w:rsidRDefault="00592785" w:rsidP="00592785">
      <w:pPr>
        <w:jc w:val="center"/>
        <w:rPr>
          <w:bCs/>
        </w:rPr>
      </w:pPr>
    </w:p>
    <w:p w14:paraId="200BD13E" w14:textId="77777777" w:rsidR="00524D2D" w:rsidRPr="00225C6A" w:rsidRDefault="00524D2D" w:rsidP="00592785">
      <w:pPr>
        <w:jc w:val="center"/>
        <w:rPr>
          <w:b/>
        </w:rPr>
      </w:pPr>
      <w:r w:rsidRPr="00225C6A">
        <w:rPr>
          <w:b/>
        </w:rPr>
        <w:t>U</w:t>
      </w:r>
      <w:r w:rsidR="0053354B" w:rsidRPr="00225C6A">
        <w:rPr>
          <w:b/>
        </w:rPr>
        <w:t>chwała</w:t>
      </w:r>
      <w:r w:rsidRPr="00225C6A">
        <w:rPr>
          <w:b/>
        </w:rPr>
        <w:t xml:space="preserve"> N</w:t>
      </w:r>
      <w:r w:rsidR="0053354B" w:rsidRPr="00225C6A">
        <w:rPr>
          <w:b/>
        </w:rPr>
        <w:t>r</w:t>
      </w:r>
      <w:r w:rsidRPr="00225C6A">
        <w:rPr>
          <w:b/>
        </w:rPr>
        <w:t xml:space="preserve"> </w:t>
      </w:r>
      <w:r w:rsidR="003A610B" w:rsidRPr="00225C6A">
        <w:rPr>
          <w:b/>
        </w:rPr>
        <w:t>……………</w:t>
      </w:r>
    </w:p>
    <w:p w14:paraId="0066F7BE" w14:textId="77777777" w:rsidR="00524D2D" w:rsidRPr="00225C6A" w:rsidRDefault="00524D2D" w:rsidP="00592785">
      <w:pPr>
        <w:jc w:val="center"/>
        <w:rPr>
          <w:b/>
        </w:rPr>
      </w:pPr>
      <w:r w:rsidRPr="00225C6A">
        <w:rPr>
          <w:b/>
        </w:rPr>
        <w:t>R</w:t>
      </w:r>
      <w:r w:rsidR="0053354B" w:rsidRPr="00225C6A">
        <w:rPr>
          <w:b/>
        </w:rPr>
        <w:t>ady</w:t>
      </w:r>
      <w:r w:rsidRPr="00225C6A">
        <w:rPr>
          <w:b/>
        </w:rPr>
        <w:t xml:space="preserve"> </w:t>
      </w:r>
      <w:r w:rsidR="0053354B" w:rsidRPr="00225C6A">
        <w:rPr>
          <w:b/>
        </w:rPr>
        <w:t>Miejskiej w</w:t>
      </w:r>
      <w:r w:rsidR="0044617A" w:rsidRPr="00225C6A">
        <w:rPr>
          <w:b/>
        </w:rPr>
        <w:t xml:space="preserve"> C</w:t>
      </w:r>
      <w:r w:rsidR="0053354B" w:rsidRPr="00225C6A">
        <w:rPr>
          <w:b/>
        </w:rPr>
        <w:t>hojnicach</w:t>
      </w:r>
    </w:p>
    <w:p w14:paraId="093ADAB1" w14:textId="77777777" w:rsidR="00524D2D" w:rsidRPr="00225C6A" w:rsidRDefault="0053354B" w:rsidP="00592785">
      <w:pPr>
        <w:jc w:val="center"/>
        <w:rPr>
          <w:b/>
        </w:rPr>
      </w:pPr>
      <w:r w:rsidRPr="00225C6A">
        <w:rPr>
          <w:b/>
        </w:rPr>
        <w:t xml:space="preserve">z dnia </w:t>
      </w:r>
      <w:r w:rsidR="004574CE">
        <w:rPr>
          <w:b/>
        </w:rPr>
        <w:t>6</w:t>
      </w:r>
      <w:r w:rsidR="00BC6726">
        <w:rPr>
          <w:b/>
        </w:rPr>
        <w:t xml:space="preserve"> czerwca 2022</w:t>
      </w:r>
      <w:r w:rsidR="00524D2D" w:rsidRPr="00225C6A">
        <w:rPr>
          <w:b/>
        </w:rPr>
        <w:t xml:space="preserve"> r.</w:t>
      </w:r>
    </w:p>
    <w:p w14:paraId="31E4614A" w14:textId="77777777" w:rsidR="00524D2D" w:rsidRPr="00225C6A" w:rsidRDefault="00524D2D" w:rsidP="00592785">
      <w:pPr>
        <w:jc w:val="both"/>
        <w:rPr>
          <w:bCs/>
        </w:rPr>
      </w:pPr>
    </w:p>
    <w:p w14:paraId="21752373" w14:textId="77777777" w:rsidR="00B156EB" w:rsidRPr="00225C6A" w:rsidRDefault="00524D2D" w:rsidP="00592785">
      <w:pPr>
        <w:jc w:val="both"/>
        <w:rPr>
          <w:b/>
        </w:rPr>
      </w:pPr>
      <w:r w:rsidRPr="00225C6A">
        <w:rPr>
          <w:b/>
        </w:rPr>
        <w:t>w sprawie</w:t>
      </w:r>
      <w:r w:rsidR="00A43116" w:rsidRPr="00225C6A">
        <w:rPr>
          <w:b/>
        </w:rPr>
        <w:t xml:space="preserve"> </w:t>
      </w:r>
      <w:r w:rsidRPr="00225C6A">
        <w:rPr>
          <w:b/>
        </w:rPr>
        <w:t>miejscowego</w:t>
      </w:r>
      <w:r w:rsidR="008712A4" w:rsidRPr="00225C6A">
        <w:rPr>
          <w:b/>
        </w:rPr>
        <w:t xml:space="preserve"> planu </w:t>
      </w:r>
      <w:r w:rsidR="0044617A" w:rsidRPr="00225C6A">
        <w:rPr>
          <w:b/>
        </w:rPr>
        <w:t xml:space="preserve">zagospodarowania przestrzennego terenu </w:t>
      </w:r>
      <w:r w:rsidR="00780252" w:rsidRPr="00225C6A">
        <w:rPr>
          <w:b/>
        </w:rPr>
        <w:t>przy</w:t>
      </w:r>
      <w:r w:rsidR="00E95448" w:rsidRPr="00225C6A">
        <w:rPr>
          <w:b/>
        </w:rPr>
        <w:t xml:space="preserve"> ulic</w:t>
      </w:r>
      <w:r w:rsidR="00780252" w:rsidRPr="00225C6A">
        <w:rPr>
          <w:b/>
        </w:rPr>
        <w:t>y</w:t>
      </w:r>
      <w:r w:rsidR="005E5C49" w:rsidRPr="00225C6A">
        <w:rPr>
          <w:b/>
        </w:rPr>
        <w:t xml:space="preserve"> </w:t>
      </w:r>
      <w:r w:rsidR="00E139DF" w:rsidRPr="00225C6A">
        <w:rPr>
          <w:b/>
        </w:rPr>
        <w:t>Gdańskiej</w:t>
      </w:r>
      <w:r w:rsidR="00780252" w:rsidRPr="00225C6A">
        <w:rPr>
          <w:b/>
        </w:rPr>
        <w:t xml:space="preserve"> </w:t>
      </w:r>
      <w:r w:rsidR="0044617A" w:rsidRPr="00225C6A">
        <w:rPr>
          <w:b/>
        </w:rPr>
        <w:t>w Chojnicach</w:t>
      </w:r>
      <w:r w:rsidR="00CE2E9E" w:rsidRPr="00225C6A">
        <w:rPr>
          <w:b/>
        </w:rPr>
        <w:t>.</w:t>
      </w:r>
    </w:p>
    <w:p w14:paraId="25DDB9A0" w14:textId="77777777" w:rsidR="003A6488" w:rsidRPr="00225C6A" w:rsidRDefault="003A6488" w:rsidP="00592785">
      <w:pPr>
        <w:pStyle w:val="Tekstpodstawowy"/>
        <w:rPr>
          <w:bCs/>
          <w:szCs w:val="24"/>
        </w:rPr>
      </w:pPr>
    </w:p>
    <w:p w14:paraId="4626EBDB" w14:textId="77777777" w:rsidR="00AB61AE" w:rsidRPr="00225C6A" w:rsidRDefault="00F855BA" w:rsidP="00592785">
      <w:pPr>
        <w:pStyle w:val="Tekstpodstawowy"/>
        <w:ind w:firstLine="426"/>
        <w:rPr>
          <w:szCs w:val="24"/>
        </w:rPr>
      </w:pPr>
      <w:r w:rsidRPr="00225C6A">
        <w:rPr>
          <w:bCs/>
          <w:szCs w:val="24"/>
        </w:rPr>
        <w:t xml:space="preserve">Na podstawie art. 18 ust. 2 pkt 5 ustawy z dnia 8 marca 1990 r. o samorządzie gminnym </w:t>
      </w:r>
      <w:r w:rsidRPr="00225C6A">
        <w:rPr>
          <w:bCs/>
          <w:szCs w:val="24"/>
        </w:rPr>
        <w:br/>
        <w:t>(</w:t>
      </w:r>
      <w:proofErr w:type="spellStart"/>
      <w:r w:rsidR="00BC6726">
        <w:t>t.j</w:t>
      </w:r>
      <w:proofErr w:type="spellEnd"/>
      <w:r w:rsidR="00BC6726">
        <w:t>. Dz. U. z 2022 r. poz. 559, 583</w:t>
      </w:r>
      <w:r w:rsidRPr="00225C6A">
        <w:rPr>
          <w:bCs/>
          <w:szCs w:val="24"/>
        </w:rPr>
        <w:t xml:space="preserve">) oraz art. 20 ust 1 ustawy z dnia 27 marca 2003 r. </w:t>
      </w:r>
      <w:r w:rsidRPr="00225C6A">
        <w:rPr>
          <w:bCs/>
          <w:szCs w:val="24"/>
        </w:rPr>
        <w:br/>
        <w:t>o planowaniu i zagospodarowaniu przestrzennym (</w:t>
      </w:r>
      <w:proofErr w:type="spellStart"/>
      <w:r w:rsidR="00BC6726">
        <w:t>t.j</w:t>
      </w:r>
      <w:proofErr w:type="spellEnd"/>
      <w:r w:rsidR="00BC6726">
        <w:t>. Dz. U. z 2022 r. poz. 503</w:t>
      </w:r>
      <w:r w:rsidRPr="00225C6A">
        <w:rPr>
          <w:bCs/>
          <w:szCs w:val="24"/>
        </w:rPr>
        <w:t>)</w:t>
      </w:r>
      <w:r w:rsidR="007A506C" w:rsidRPr="00225C6A">
        <w:rPr>
          <w:bCs/>
          <w:szCs w:val="24"/>
        </w:rPr>
        <w:t>,</w:t>
      </w:r>
      <w:r w:rsidR="00585B2E" w:rsidRPr="00225C6A">
        <w:rPr>
          <w:bCs/>
          <w:szCs w:val="24"/>
        </w:rPr>
        <w:t xml:space="preserve"> </w:t>
      </w:r>
      <w:r w:rsidR="003A6488" w:rsidRPr="00225C6A">
        <w:rPr>
          <w:szCs w:val="24"/>
        </w:rPr>
        <w:t>u</w:t>
      </w:r>
      <w:r w:rsidR="00AB61AE" w:rsidRPr="00225C6A">
        <w:rPr>
          <w:szCs w:val="24"/>
        </w:rPr>
        <w:t xml:space="preserve">chwały </w:t>
      </w:r>
      <w:r w:rsidR="00E139DF" w:rsidRPr="00225C6A">
        <w:rPr>
          <w:szCs w:val="24"/>
        </w:rPr>
        <w:t>XXV/351/21</w:t>
      </w:r>
      <w:r w:rsidR="00780252" w:rsidRPr="00225C6A">
        <w:rPr>
          <w:szCs w:val="24"/>
          <w:lang w:val="pl"/>
        </w:rPr>
        <w:t xml:space="preserve"> Rady Miejskiej w </w:t>
      </w:r>
      <w:r w:rsidR="00780252" w:rsidRPr="00225C6A">
        <w:rPr>
          <w:bCs/>
          <w:szCs w:val="24"/>
        </w:rPr>
        <w:t>Chojnicach</w:t>
      </w:r>
      <w:r w:rsidR="00780252" w:rsidRPr="00225C6A">
        <w:rPr>
          <w:szCs w:val="24"/>
          <w:lang w:val="pl"/>
        </w:rPr>
        <w:t xml:space="preserve"> z dnia </w:t>
      </w:r>
      <w:r w:rsidR="00E139DF" w:rsidRPr="00225C6A">
        <w:rPr>
          <w:szCs w:val="24"/>
          <w:lang w:val="pl"/>
        </w:rPr>
        <w:t>1 marca 2021</w:t>
      </w:r>
      <w:r w:rsidR="00E7116A" w:rsidRPr="00225C6A">
        <w:rPr>
          <w:szCs w:val="24"/>
          <w:lang w:val="pl"/>
        </w:rPr>
        <w:t xml:space="preserve"> </w:t>
      </w:r>
      <w:r w:rsidR="00780252" w:rsidRPr="00225C6A">
        <w:rPr>
          <w:szCs w:val="24"/>
          <w:lang w:val="pl"/>
        </w:rPr>
        <w:t>r., w spra</w:t>
      </w:r>
      <w:r w:rsidRPr="00225C6A">
        <w:rPr>
          <w:szCs w:val="24"/>
          <w:lang w:val="pl"/>
        </w:rPr>
        <w:t>wie przystąpienia do sporządzenia</w:t>
      </w:r>
      <w:r w:rsidR="00780252" w:rsidRPr="00225C6A">
        <w:rPr>
          <w:szCs w:val="24"/>
          <w:lang w:val="pl"/>
        </w:rPr>
        <w:t xml:space="preserve"> miejscowego planu zagospodarowania przestrzennego terenu przy ulicy </w:t>
      </w:r>
      <w:r w:rsidR="00E139DF" w:rsidRPr="00225C6A">
        <w:rPr>
          <w:szCs w:val="24"/>
          <w:lang w:val="pl"/>
        </w:rPr>
        <w:t>Gdańskiej</w:t>
      </w:r>
      <w:r w:rsidRPr="00225C6A">
        <w:rPr>
          <w:szCs w:val="24"/>
          <w:lang w:val="pl"/>
        </w:rPr>
        <w:t xml:space="preserve"> </w:t>
      </w:r>
      <w:r w:rsidR="00780252" w:rsidRPr="00225C6A">
        <w:rPr>
          <w:szCs w:val="24"/>
          <w:lang w:val="pl"/>
        </w:rPr>
        <w:t>w Chojnicach</w:t>
      </w:r>
      <w:r w:rsidR="00AB61AE" w:rsidRPr="00225C6A">
        <w:rPr>
          <w:szCs w:val="24"/>
          <w:lang w:val="pl"/>
        </w:rPr>
        <w:t>, po</w:t>
      </w:r>
      <w:r w:rsidR="00AB61AE" w:rsidRPr="00225C6A">
        <w:rPr>
          <w:szCs w:val="24"/>
        </w:rPr>
        <w:t xml:space="preserve"> stwierdzeniu</w:t>
      </w:r>
      <w:r w:rsidR="00332171" w:rsidRPr="00225C6A">
        <w:rPr>
          <w:szCs w:val="24"/>
        </w:rPr>
        <w:t xml:space="preserve">, </w:t>
      </w:r>
      <w:r w:rsidR="00585B2E" w:rsidRPr="00225C6A">
        <w:rPr>
          <w:szCs w:val="24"/>
        </w:rPr>
        <w:t>że plan nie narusza ustaleń studium</w:t>
      </w:r>
      <w:r w:rsidR="00AB61AE" w:rsidRPr="00225C6A">
        <w:rPr>
          <w:szCs w:val="24"/>
        </w:rPr>
        <w:t xml:space="preserve"> uwarunkowań i kierunków </w:t>
      </w:r>
      <w:r w:rsidR="00937EC8" w:rsidRPr="00225C6A">
        <w:rPr>
          <w:szCs w:val="24"/>
        </w:rPr>
        <w:t xml:space="preserve">zagospodarowania przestrzennego </w:t>
      </w:r>
      <w:r w:rsidR="0053354B" w:rsidRPr="00225C6A">
        <w:rPr>
          <w:szCs w:val="24"/>
        </w:rPr>
        <w:t>m</w:t>
      </w:r>
      <w:r w:rsidR="0044617A" w:rsidRPr="00225C6A">
        <w:rPr>
          <w:szCs w:val="24"/>
        </w:rPr>
        <w:t>iasta Chojnice</w:t>
      </w:r>
      <w:r w:rsidR="007102E7" w:rsidRPr="00225C6A">
        <w:rPr>
          <w:szCs w:val="24"/>
        </w:rPr>
        <w:t xml:space="preserve"> </w:t>
      </w:r>
      <w:r w:rsidR="007476FE" w:rsidRPr="00225C6A">
        <w:rPr>
          <w:szCs w:val="24"/>
        </w:rPr>
        <w:t xml:space="preserve">uchwalonego </w:t>
      </w:r>
      <w:r w:rsidR="006D5F95" w:rsidRPr="00225C6A">
        <w:rPr>
          <w:szCs w:val="24"/>
        </w:rPr>
        <w:t xml:space="preserve">uchwałą </w:t>
      </w:r>
      <w:r w:rsidR="00BC6726">
        <w:rPr>
          <w:szCs w:val="24"/>
        </w:rPr>
        <w:br/>
      </w:r>
      <w:r w:rsidR="00592785" w:rsidRPr="00225C6A">
        <w:rPr>
          <w:szCs w:val="24"/>
        </w:rPr>
        <w:t>Nr XVI/220/20 Rady Miejskiej w Chojnicach z dnia 23 marca 2020 r.</w:t>
      </w:r>
      <w:r w:rsidR="006D5F95" w:rsidRPr="00225C6A">
        <w:rPr>
          <w:szCs w:val="24"/>
        </w:rPr>
        <w:t xml:space="preserve">, </w:t>
      </w:r>
      <w:r w:rsidR="00AB61AE" w:rsidRPr="00225C6A">
        <w:rPr>
          <w:szCs w:val="24"/>
        </w:rPr>
        <w:t xml:space="preserve">uchwala się, </w:t>
      </w:r>
      <w:r w:rsidR="00BC6726">
        <w:rPr>
          <w:szCs w:val="24"/>
        </w:rPr>
        <w:br/>
      </w:r>
      <w:r w:rsidR="00AB61AE" w:rsidRPr="00225C6A">
        <w:rPr>
          <w:szCs w:val="24"/>
        </w:rPr>
        <w:t>co następuje:</w:t>
      </w:r>
    </w:p>
    <w:p w14:paraId="5E32FFA5" w14:textId="77777777" w:rsidR="00524D2D" w:rsidRPr="00225C6A" w:rsidRDefault="00524D2D" w:rsidP="00592785">
      <w:pPr>
        <w:jc w:val="both"/>
      </w:pPr>
    </w:p>
    <w:p w14:paraId="65863F3F" w14:textId="77777777" w:rsidR="00027E8F" w:rsidRPr="00225C6A" w:rsidRDefault="003A6488" w:rsidP="00592785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225C6A">
        <w:t>1.</w:t>
      </w:r>
      <w:r w:rsidRPr="00225C6A">
        <w:tab/>
      </w:r>
      <w:r w:rsidR="008F043F" w:rsidRPr="00225C6A">
        <w:t>Uchwala się m</w:t>
      </w:r>
      <w:r w:rsidR="007476FE" w:rsidRPr="00225C6A">
        <w:t>iejscow</w:t>
      </w:r>
      <w:r w:rsidR="008F5A16" w:rsidRPr="00225C6A">
        <w:t>y</w:t>
      </w:r>
      <w:r w:rsidR="007476FE" w:rsidRPr="00225C6A">
        <w:t xml:space="preserve"> plan zagospodarowania przestrzennego </w:t>
      </w:r>
      <w:r w:rsidR="00780252" w:rsidRPr="00225C6A">
        <w:rPr>
          <w:lang w:val="pl"/>
        </w:rPr>
        <w:t xml:space="preserve">terenu przy ulicy </w:t>
      </w:r>
      <w:r w:rsidR="00541DE0" w:rsidRPr="00225C6A">
        <w:rPr>
          <w:lang w:val="pl"/>
        </w:rPr>
        <w:t>Gdańskiej</w:t>
      </w:r>
      <w:r w:rsidR="00780252" w:rsidRPr="00225C6A">
        <w:rPr>
          <w:lang w:val="pl"/>
        </w:rPr>
        <w:t xml:space="preserve"> </w:t>
      </w:r>
      <w:r w:rsidR="0044617A" w:rsidRPr="00225C6A">
        <w:t>w Chojnicach</w:t>
      </w:r>
      <w:r w:rsidR="008F5A16" w:rsidRPr="00225C6A">
        <w:t>, zwany dalej planem</w:t>
      </w:r>
      <w:r w:rsidR="00837261" w:rsidRPr="00225C6A">
        <w:t>.</w:t>
      </w:r>
    </w:p>
    <w:p w14:paraId="6A3539B6" w14:textId="77777777" w:rsidR="00F6580A" w:rsidRPr="00225C6A" w:rsidRDefault="00F6580A" w:rsidP="00592785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eastAsia="Calibri"/>
          <w:lang w:eastAsia="en-US"/>
        </w:rPr>
      </w:pPr>
      <w:r w:rsidRPr="00225C6A">
        <w:t>Integralną częścią uchwały są:</w:t>
      </w:r>
    </w:p>
    <w:p w14:paraId="16F3F58E" w14:textId="77777777" w:rsidR="00F6580A" w:rsidRPr="00225C6A" w:rsidRDefault="00D15E9F" w:rsidP="00592785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225C6A">
        <w:t>rysunek</w:t>
      </w:r>
      <w:r w:rsidR="00F6580A" w:rsidRPr="00225C6A">
        <w:t xml:space="preserve"> planu</w:t>
      </w:r>
      <w:r w:rsidR="008F5A16" w:rsidRPr="00225C6A">
        <w:t xml:space="preserve"> miejscowego</w:t>
      </w:r>
      <w:r w:rsidR="00F6580A" w:rsidRPr="00225C6A">
        <w:t xml:space="preserve"> </w:t>
      </w:r>
      <w:r w:rsidR="008F5A16" w:rsidRPr="00225C6A">
        <w:t>- zwany dalej rysunkiem planu w skali 1:1000,</w:t>
      </w:r>
      <w:r w:rsidR="007B404D" w:rsidRPr="00225C6A">
        <w:t xml:space="preserve"> stanowiąc</w:t>
      </w:r>
      <w:r w:rsidRPr="00225C6A">
        <w:t>y załącznik</w:t>
      </w:r>
      <w:r w:rsidR="00F6580A" w:rsidRPr="00225C6A">
        <w:t xml:space="preserve"> </w:t>
      </w:r>
      <w:r w:rsidR="00520A2D" w:rsidRPr="00225C6A">
        <w:t>nr</w:t>
      </w:r>
      <w:r w:rsidR="00B63342" w:rsidRPr="00225C6A">
        <w:t xml:space="preserve"> 1</w:t>
      </w:r>
      <w:r w:rsidR="00CF1CE3" w:rsidRPr="00225C6A">
        <w:t xml:space="preserve"> </w:t>
      </w:r>
      <w:r w:rsidR="00317274" w:rsidRPr="00225C6A">
        <w:t>do uchwały,</w:t>
      </w:r>
    </w:p>
    <w:p w14:paraId="281FF46C" w14:textId="77777777" w:rsidR="00F6580A" w:rsidRPr="00225C6A" w:rsidRDefault="00F6580A" w:rsidP="00592785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225C6A">
        <w:t xml:space="preserve">rozstrzygnięcie o sposobie rozpatrzenia uwag do projektu </w:t>
      </w:r>
      <w:r w:rsidR="00520A2D" w:rsidRPr="00225C6A">
        <w:t>plan</w:t>
      </w:r>
      <w:r w:rsidR="00FE1A3E" w:rsidRPr="00225C6A">
        <w:t>u, stanowiące</w:t>
      </w:r>
      <w:r w:rsidR="00520A2D" w:rsidRPr="00225C6A">
        <w:t xml:space="preserve"> załącznik nr </w:t>
      </w:r>
      <w:r w:rsidR="00D15E9F" w:rsidRPr="00225C6A">
        <w:t>2</w:t>
      </w:r>
      <w:r w:rsidR="00317274" w:rsidRPr="00225C6A">
        <w:t xml:space="preserve"> do uchwały,</w:t>
      </w:r>
    </w:p>
    <w:p w14:paraId="6CF090AC" w14:textId="77777777" w:rsidR="00A60FBF" w:rsidRPr="00225C6A" w:rsidRDefault="00F6580A" w:rsidP="00592785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225C6A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225C6A">
        <w:t>zn</w:t>
      </w:r>
      <w:r w:rsidR="00C1291D" w:rsidRPr="00225C6A">
        <w:t>ych, stanowiące</w:t>
      </w:r>
      <w:r w:rsidR="00520A2D" w:rsidRPr="00225C6A">
        <w:t xml:space="preserve"> załącznik nr </w:t>
      </w:r>
      <w:r w:rsidR="00D15E9F" w:rsidRPr="00225C6A">
        <w:t>3</w:t>
      </w:r>
      <w:r w:rsidR="00A60FBF" w:rsidRPr="00225C6A">
        <w:t xml:space="preserve"> do uchwały,</w:t>
      </w:r>
    </w:p>
    <w:p w14:paraId="63EB1496" w14:textId="77777777" w:rsidR="00A60FBF" w:rsidRPr="00225C6A" w:rsidRDefault="00A60FBF" w:rsidP="00592785">
      <w:pPr>
        <w:numPr>
          <w:ilvl w:val="0"/>
          <w:numId w:val="1"/>
        </w:numPr>
        <w:ind w:left="993" w:hanging="284"/>
        <w:jc w:val="both"/>
      </w:pPr>
      <w:r w:rsidRPr="00225C6A">
        <w:t>dane przestrzenne, o których mowa w art. 67a ust. 3 ustawy z dnia 27 marca 2003</w:t>
      </w:r>
      <w:r w:rsidR="00592785" w:rsidRPr="00225C6A">
        <w:t xml:space="preserve"> </w:t>
      </w:r>
      <w:r w:rsidRPr="00225C6A">
        <w:t xml:space="preserve">r. o planowaniu i zagospodarowaniu przestrzennym, stanowiące załącznik nr 4 </w:t>
      </w:r>
      <w:r w:rsidR="00225C6A">
        <w:br/>
      </w:r>
      <w:r w:rsidRPr="00225C6A">
        <w:t>do uchwały.</w:t>
      </w:r>
    </w:p>
    <w:p w14:paraId="4C81B34E" w14:textId="77777777" w:rsidR="00F6580A" w:rsidRPr="00225C6A" w:rsidRDefault="00B156EB" w:rsidP="00592785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225C6A">
        <w:t xml:space="preserve">Oznaczenia graficzne </w:t>
      </w:r>
      <w:r w:rsidR="00F6580A" w:rsidRPr="00225C6A">
        <w:t xml:space="preserve">rysunku planu </w:t>
      </w:r>
      <w:r w:rsidRPr="00225C6A">
        <w:t>będące</w:t>
      </w:r>
      <w:r w:rsidR="00F6580A" w:rsidRPr="00225C6A">
        <w:t xml:space="preserve"> obowiązującymi ustaleniami planu:</w:t>
      </w:r>
    </w:p>
    <w:p w14:paraId="26C897FF" w14:textId="77777777" w:rsidR="00F6580A" w:rsidRPr="00225C6A" w:rsidRDefault="00E139DF" w:rsidP="00592785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225C6A">
        <w:t>granica opracowania planu</w:t>
      </w:r>
      <w:r w:rsidR="00317274" w:rsidRPr="00225C6A">
        <w:t>,</w:t>
      </w:r>
    </w:p>
    <w:p w14:paraId="787BD13F" w14:textId="77777777" w:rsidR="00A00CDD" w:rsidRPr="00225C6A" w:rsidRDefault="00F6580A" w:rsidP="00592785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225C6A">
        <w:t>linie rozgraniczające tereny o różnym przeznaczeniu lub ró</w:t>
      </w:r>
      <w:r w:rsidR="00317274" w:rsidRPr="00225C6A">
        <w:t>żnych zasadach zagospodarowania,</w:t>
      </w:r>
    </w:p>
    <w:p w14:paraId="41176642" w14:textId="77777777" w:rsidR="0016637D" w:rsidRPr="00225C6A" w:rsidRDefault="00317274" w:rsidP="00592785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225C6A">
        <w:t>nieprzekraczalne linie zabudowy,</w:t>
      </w:r>
    </w:p>
    <w:p w14:paraId="39BABBEE" w14:textId="77777777" w:rsidR="009A1342" w:rsidRPr="00225C6A" w:rsidRDefault="00837624" w:rsidP="00592785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225C6A">
        <w:t>wymiarowanie</w:t>
      </w:r>
      <w:r w:rsidR="009A1342" w:rsidRPr="00225C6A">
        <w:t>,</w:t>
      </w:r>
      <w:r w:rsidR="009A1342" w:rsidRPr="00225C6A">
        <w:rPr>
          <w:spacing w:val="-2"/>
        </w:rPr>
        <w:t xml:space="preserve"> </w:t>
      </w:r>
    </w:p>
    <w:p w14:paraId="4BC87E04" w14:textId="77777777" w:rsidR="0016637D" w:rsidRPr="00225C6A" w:rsidRDefault="009A1342" w:rsidP="00592785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225C6A">
        <w:rPr>
          <w:spacing w:val="-2"/>
        </w:rPr>
        <w:t>przeznaczenie terenów oznaczone symbolem literowym i numerem porządkowym</w:t>
      </w:r>
      <w:r w:rsidR="0016637D" w:rsidRPr="00225C6A">
        <w:t>.</w:t>
      </w:r>
    </w:p>
    <w:p w14:paraId="65973026" w14:textId="77777777" w:rsidR="00524D2D" w:rsidRPr="00225C6A" w:rsidRDefault="00F6580A" w:rsidP="00592785">
      <w:pPr>
        <w:numPr>
          <w:ilvl w:val="0"/>
          <w:numId w:val="11"/>
        </w:numPr>
        <w:ind w:left="709" w:hanging="283"/>
        <w:jc w:val="both"/>
      </w:pPr>
      <w:r w:rsidRPr="00225C6A">
        <w:t>Pozostałe oznaczenia nie</w:t>
      </w:r>
      <w:r w:rsidR="00C1291D" w:rsidRPr="00225C6A">
        <w:t xml:space="preserve"> </w:t>
      </w:r>
      <w:r w:rsidR="00BF58DD" w:rsidRPr="00225C6A">
        <w:t>wymienione w ust. 3</w:t>
      </w:r>
      <w:r w:rsidRPr="00225C6A">
        <w:t xml:space="preserve"> są oznaczeniami informacyjnymi </w:t>
      </w:r>
      <w:r w:rsidR="00FD084C" w:rsidRPr="00225C6A">
        <w:br/>
      </w:r>
      <w:r w:rsidRPr="00225C6A">
        <w:t>lub wskazującymi stan prawny</w:t>
      </w:r>
      <w:r w:rsidR="00367493" w:rsidRPr="00225C6A">
        <w:t>.</w:t>
      </w:r>
    </w:p>
    <w:p w14:paraId="741F13B1" w14:textId="77777777" w:rsidR="008524EF" w:rsidRPr="00225C6A" w:rsidRDefault="008524EF" w:rsidP="00592785">
      <w:pPr>
        <w:jc w:val="both"/>
      </w:pPr>
    </w:p>
    <w:p w14:paraId="67437119" w14:textId="77777777" w:rsidR="00F6580A" w:rsidRPr="00225C6A" w:rsidRDefault="003A6488" w:rsidP="00592785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rFonts w:eastAsia="Calibri"/>
          <w:lang w:eastAsia="en-US"/>
        </w:rPr>
      </w:pPr>
      <w:r w:rsidRPr="00225C6A">
        <w:rPr>
          <w:rFonts w:eastAsia="Calibri"/>
          <w:lang w:eastAsia="en-US"/>
        </w:rPr>
        <w:t>1.</w:t>
      </w:r>
      <w:r w:rsidRPr="00225C6A">
        <w:rPr>
          <w:rFonts w:eastAsia="Calibri"/>
          <w:lang w:eastAsia="en-US"/>
        </w:rPr>
        <w:tab/>
      </w:r>
      <w:r w:rsidR="00F6580A" w:rsidRPr="00225C6A">
        <w:t>Ilekroć w uchwale jest mowa o:</w:t>
      </w:r>
    </w:p>
    <w:p w14:paraId="2156B968" w14:textId="77777777" w:rsidR="00F6580A" w:rsidRPr="00225C6A" w:rsidRDefault="00F6580A" w:rsidP="00592785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225C6A">
        <w:t xml:space="preserve">rysunku planu </w:t>
      </w:r>
      <w:r w:rsidR="00837261" w:rsidRPr="00225C6A">
        <w:t>-</w:t>
      </w:r>
      <w:r w:rsidRPr="00225C6A">
        <w:t xml:space="preserve"> należy przez to rozumieć część graficzną planu stano</w:t>
      </w:r>
      <w:r w:rsidR="00317274" w:rsidRPr="00225C6A">
        <w:t>wiącą załącznik nr 1 do uchwały,</w:t>
      </w:r>
    </w:p>
    <w:p w14:paraId="17137EC9" w14:textId="77777777" w:rsidR="00F6580A" w:rsidRPr="00225C6A" w:rsidRDefault="00F6580A" w:rsidP="00592785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225C6A">
        <w:t xml:space="preserve">terenie </w:t>
      </w:r>
      <w:r w:rsidR="00837261" w:rsidRPr="00225C6A">
        <w:t>-</w:t>
      </w:r>
      <w:r w:rsidR="00F17896" w:rsidRPr="00225C6A">
        <w:t xml:space="preserve"> należy przez to rozumieć obszar o określonym rodzaju przeznaczenia, wyznaczony na rysunku </w:t>
      </w:r>
      <w:r w:rsidR="00317274" w:rsidRPr="00225C6A">
        <w:t>planu liniami rozgraniczającymi,</w:t>
      </w:r>
    </w:p>
    <w:p w14:paraId="61F39ABE" w14:textId="77777777" w:rsidR="00F6580A" w:rsidRPr="00225C6A" w:rsidRDefault="00F6580A" w:rsidP="00592785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225C6A">
        <w:t>linii rozgraniczającej tereny o różnym przeznaczeniu lub różnych zasadach zagospodarowania należy przez to rozumieć linię wyznaczającą podział obszaru objętego planem na tereny o różnym przeznaczeniu lub ró</w:t>
      </w:r>
      <w:r w:rsidR="00317274" w:rsidRPr="00225C6A">
        <w:t>żnych zasadach zagospodarowania,</w:t>
      </w:r>
    </w:p>
    <w:p w14:paraId="59844DED" w14:textId="77777777" w:rsidR="0016637D" w:rsidRPr="00225C6A" w:rsidRDefault="0016637D" w:rsidP="00592785">
      <w:pPr>
        <w:numPr>
          <w:ilvl w:val="0"/>
          <w:numId w:val="3"/>
        </w:numPr>
        <w:tabs>
          <w:tab w:val="left" w:pos="1134"/>
        </w:tabs>
        <w:ind w:left="1134" w:hanging="425"/>
        <w:jc w:val="both"/>
      </w:pPr>
      <w:r w:rsidRPr="00225C6A">
        <w:lastRenderedPageBreak/>
        <w:t>nieprzekraczalnej linii zabudowy należy przez to rozumieć linię, poza którą nie może być wysunięta elewacja frontowa budynku, linia ta dotyczy wyłącznie budynków, z</w:t>
      </w:r>
      <w:r w:rsidR="00E63EE4" w:rsidRPr="00225C6A">
        <w:t xml:space="preserve"> </w:t>
      </w:r>
      <w:r w:rsidRPr="00225C6A">
        <w:t xml:space="preserve">wyłączeniem w szczególności: termoizolacji, balkonów, tarasów </w:t>
      </w:r>
      <w:r w:rsidR="00592785" w:rsidRPr="00225C6A">
        <w:br/>
      </w:r>
      <w:r w:rsidRPr="00225C6A">
        <w:t>i ich zadaszeń, schodów, pochylni, gzymsów, pilastrów, wykuszy, okapów, obudowy wejść do budynków, szybów wind, wiat śm</w:t>
      </w:r>
      <w:r w:rsidR="00317274" w:rsidRPr="00225C6A">
        <w:t>ietnikowych,</w:t>
      </w:r>
      <w:r w:rsidR="00E7116A" w:rsidRPr="00225C6A">
        <w:t xml:space="preserve"> portierni </w:t>
      </w:r>
      <w:r w:rsidR="00592785" w:rsidRPr="00225C6A">
        <w:br/>
      </w:r>
      <w:r w:rsidR="00E7116A" w:rsidRPr="00225C6A">
        <w:t>o powierzchni do 15m</w:t>
      </w:r>
      <w:r w:rsidR="00E7116A" w:rsidRPr="00225C6A">
        <w:rPr>
          <w:vertAlign w:val="superscript"/>
        </w:rPr>
        <w:t>2</w:t>
      </w:r>
      <w:r w:rsidR="00317274" w:rsidRPr="00225C6A">
        <w:t>.</w:t>
      </w:r>
    </w:p>
    <w:p w14:paraId="43AE744F" w14:textId="77777777" w:rsidR="00C53511" w:rsidRPr="00225C6A" w:rsidRDefault="00F6580A" w:rsidP="00592785">
      <w:pPr>
        <w:numPr>
          <w:ilvl w:val="0"/>
          <w:numId w:val="4"/>
        </w:numPr>
        <w:ind w:left="709" w:hanging="283"/>
        <w:jc w:val="both"/>
      </w:pPr>
      <w:r w:rsidRPr="00225C6A">
        <w:t xml:space="preserve">Pojęcia występujące w niniejszej uchwale, nie wyjaśnione w ust. 1, należy interpretować zgodnie z definicjami przyjętymi w ustawie o planowaniu </w:t>
      </w:r>
      <w:r w:rsidR="00592785" w:rsidRPr="00225C6A">
        <w:br/>
      </w:r>
      <w:r w:rsidRPr="00225C6A">
        <w:t xml:space="preserve">i zagospodarowaniu przestrzennym oraz </w:t>
      </w:r>
      <w:r w:rsidR="00774C6C" w:rsidRPr="00225C6A">
        <w:t>przepisami odrębnymi</w:t>
      </w:r>
      <w:r w:rsidR="0076218A" w:rsidRPr="00225C6A">
        <w:t>.</w:t>
      </w:r>
    </w:p>
    <w:p w14:paraId="16B0D42B" w14:textId="77777777" w:rsidR="0006643B" w:rsidRPr="00225C6A" w:rsidRDefault="0006643B" w:rsidP="00592785">
      <w:pPr>
        <w:jc w:val="both"/>
      </w:pPr>
    </w:p>
    <w:p w14:paraId="18C82474" w14:textId="77777777" w:rsidR="00626F97" w:rsidRPr="00225C6A" w:rsidRDefault="00626F97" w:rsidP="00592785">
      <w:pPr>
        <w:numPr>
          <w:ilvl w:val="0"/>
          <w:numId w:val="9"/>
        </w:numPr>
        <w:ind w:hanging="578"/>
        <w:jc w:val="both"/>
      </w:pPr>
      <w:r w:rsidRPr="00225C6A">
        <w:t xml:space="preserve">Dla terenu oznaczonego na rysunku planu symbolem </w:t>
      </w:r>
      <w:r w:rsidR="00A60FBF" w:rsidRPr="00225C6A">
        <w:rPr>
          <w:b/>
        </w:rPr>
        <w:t>1</w:t>
      </w:r>
      <w:r w:rsidR="0041695D" w:rsidRPr="00225C6A">
        <w:rPr>
          <w:b/>
        </w:rPr>
        <w:t>U</w:t>
      </w:r>
      <w:r w:rsidR="00E139DF" w:rsidRPr="00225C6A">
        <w:rPr>
          <w:b/>
        </w:rPr>
        <w:t>P</w:t>
      </w:r>
      <w:r w:rsidRPr="00225C6A">
        <w:t xml:space="preserve"> ustala się:</w:t>
      </w:r>
    </w:p>
    <w:p w14:paraId="512B3DC5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Przeznaczenie:</w:t>
      </w:r>
      <w:r w:rsidR="00A60FBF" w:rsidRPr="00225C6A">
        <w:rPr>
          <w:bCs/>
        </w:rPr>
        <w:t xml:space="preserve"> teren</w:t>
      </w:r>
      <w:r w:rsidRPr="00225C6A">
        <w:rPr>
          <w:bCs/>
        </w:rPr>
        <w:t xml:space="preserve"> zabudowy </w:t>
      </w:r>
      <w:r w:rsidR="00E139DF" w:rsidRPr="00225C6A">
        <w:rPr>
          <w:bCs/>
        </w:rPr>
        <w:t>usług publicznych</w:t>
      </w:r>
      <w:r w:rsidRPr="00225C6A">
        <w:rPr>
          <w:bCs/>
        </w:rPr>
        <w:t>;</w:t>
      </w:r>
    </w:p>
    <w:p w14:paraId="02EDA149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Zasady ochrony i kształtowania ładu przestrzennego:</w:t>
      </w:r>
    </w:p>
    <w:p w14:paraId="71512484" w14:textId="77777777" w:rsidR="00E11F50" w:rsidRPr="00225C6A" w:rsidRDefault="00626F97" w:rsidP="00592785">
      <w:pPr>
        <w:numPr>
          <w:ilvl w:val="0"/>
          <w:numId w:val="26"/>
        </w:numPr>
        <w:tabs>
          <w:tab w:val="left" w:pos="1418"/>
        </w:tabs>
        <w:ind w:left="1418" w:hanging="284"/>
        <w:jc w:val="both"/>
      </w:pPr>
      <w:r w:rsidRPr="00225C6A">
        <w:t>ustala się realizację zabudowy w obrębie nieprzekraczalnych linii zabudowy zgodnie z rysunkiem planu,</w:t>
      </w:r>
    </w:p>
    <w:p w14:paraId="50F2C23B" w14:textId="77777777" w:rsidR="00E139DF" w:rsidRPr="00225C6A" w:rsidRDefault="00E139DF" w:rsidP="00592785">
      <w:pPr>
        <w:numPr>
          <w:ilvl w:val="0"/>
          <w:numId w:val="26"/>
        </w:numPr>
        <w:tabs>
          <w:tab w:val="left" w:pos="1418"/>
        </w:tabs>
        <w:ind w:left="1418" w:hanging="284"/>
        <w:jc w:val="both"/>
      </w:pPr>
      <w:r w:rsidRPr="00225C6A">
        <w:t>dopuszcza się lokalizację budynków w odległości 1,5 m lub bezpośrednio przy granicy sąsiedniej działki budowlanej,</w:t>
      </w:r>
    </w:p>
    <w:p w14:paraId="0C123FF5" w14:textId="77777777" w:rsidR="00626F97" w:rsidRPr="00225C6A" w:rsidRDefault="00626F97" w:rsidP="00592785">
      <w:pPr>
        <w:numPr>
          <w:ilvl w:val="0"/>
          <w:numId w:val="26"/>
        </w:numPr>
        <w:tabs>
          <w:tab w:val="left" w:pos="1418"/>
        </w:tabs>
        <w:ind w:left="1418" w:hanging="284"/>
        <w:jc w:val="both"/>
      </w:pPr>
      <w:r w:rsidRPr="00225C6A">
        <w:t>dopuszcza się kondygnacje podziemne,</w:t>
      </w:r>
    </w:p>
    <w:p w14:paraId="332C4A69" w14:textId="77777777" w:rsidR="00626F97" w:rsidRPr="00225C6A" w:rsidRDefault="00626F97" w:rsidP="00592785">
      <w:pPr>
        <w:numPr>
          <w:ilvl w:val="0"/>
          <w:numId w:val="26"/>
        </w:numPr>
        <w:tabs>
          <w:tab w:val="left" w:pos="1418"/>
        </w:tabs>
        <w:ind w:left="1418" w:hanging="284"/>
        <w:jc w:val="both"/>
      </w:pPr>
      <w:bookmarkStart w:id="0" w:name="_Hlk24095010"/>
      <w:r w:rsidRPr="00225C6A">
        <w:t>ustala się zakaz pokryć dachowych w kolorach: niebieskim, żółtym i zielonym we wszystkich odcieniach</w:t>
      </w:r>
      <w:bookmarkEnd w:id="0"/>
      <w:r w:rsidRPr="00225C6A">
        <w:t>;</w:t>
      </w:r>
    </w:p>
    <w:p w14:paraId="452F5EA8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Zasady ochrony środowiska, przyrody i krajobrazu:</w:t>
      </w:r>
    </w:p>
    <w:p w14:paraId="454F3BEE" w14:textId="77777777" w:rsidR="00626F97" w:rsidRPr="00225C6A" w:rsidRDefault="00626F97" w:rsidP="00592785">
      <w:pPr>
        <w:numPr>
          <w:ilvl w:val="0"/>
          <w:numId w:val="27"/>
        </w:numPr>
        <w:tabs>
          <w:tab w:val="left" w:pos="1418"/>
        </w:tabs>
        <w:ind w:left="1418" w:hanging="284"/>
        <w:jc w:val="both"/>
      </w:pPr>
      <w:r w:rsidRPr="00225C6A">
        <w:t>ustala się segregację i zagospodarowanie odpadów, zgodnie z lokalnymi przepisami,</w:t>
      </w:r>
    </w:p>
    <w:p w14:paraId="0BBAFEB1" w14:textId="77777777" w:rsidR="00626F97" w:rsidRPr="00225C6A" w:rsidRDefault="00626F97" w:rsidP="00592785">
      <w:pPr>
        <w:numPr>
          <w:ilvl w:val="0"/>
          <w:numId w:val="27"/>
        </w:numPr>
        <w:tabs>
          <w:tab w:val="left" w:pos="1418"/>
        </w:tabs>
        <w:ind w:left="1418" w:hanging="284"/>
        <w:jc w:val="both"/>
      </w:pPr>
      <w:bookmarkStart w:id="1" w:name="_Hlk24095078"/>
      <w:r w:rsidRPr="00225C6A">
        <w:t xml:space="preserve">ustala się zakaz lokalizacji przedsięwzięć mogących znacząco oddziaływać </w:t>
      </w:r>
      <w:r w:rsidR="00225C6A">
        <w:br/>
      </w:r>
      <w:r w:rsidRPr="00225C6A">
        <w:rPr>
          <w:spacing w:val="-2"/>
        </w:rPr>
        <w:t>na środowisko, za wyjątkiem obiektów infrastruktury technicznej i komunikacji;</w:t>
      </w:r>
    </w:p>
    <w:bookmarkEnd w:id="1"/>
    <w:p w14:paraId="1FC98EFD" w14:textId="77777777" w:rsidR="00626F97" w:rsidRPr="00225C6A" w:rsidRDefault="00626F97" w:rsidP="00592785">
      <w:pPr>
        <w:numPr>
          <w:ilvl w:val="0"/>
          <w:numId w:val="25"/>
        </w:numPr>
        <w:tabs>
          <w:tab w:val="left" w:pos="1134"/>
        </w:tabs>
        <w:ind w:left="1134" w:hanging="425"/>
        <w:jc w:val="both"/>
      </w:pPr>
      <w:r w:rsidRPr="00225C6A">
        <w:t>Zasady kształtowania krajobrazu: nie występuje potrzeba określania.</w:t>
      </w:r>
    </w:p>
    <w:p w14:paraId="127F4CB7" w14:textId="77777777" w:rsidR="00626F97" w:rsidRPr="00225C6A" w:rsidRDefault="00626F97" w:rsidP="00592785">
      <w:pPr>
        <w:numPr>
          <w:ilvl w:val="0"/>
          <w:numId w:val="25"/>
        </w:numPr>
        <w:tabs>
          <w:tab w:val="left" w:pos="1134"/>
        </w:tabs>
        <w:ind w:left="1134" w:hanging="425"/>
        <w:jc w:val="both"/>
      </w:pPr>
      <w:r w:rsidRPr="00225C6A">
        <w:t>Zasady ochrony dziedzictwa kulturowego i zabytków, w tym krajobrazów kulturowych, oraz dóbr kultury współczesnej: nie występuje potrzeba określenia.</w:t>
      </w:r>
    </w:p>
    <w:p w14:paraId="38AEC2ED" w14:textId="77777777" w:rsidR="00626F97" w:rsidRPr="00225C6A" w:rsidRDefault="00626F97" w:rsidP="00592785">
      <w:pPr>
        <w:numPr>
          <w:ilvl w:val="0"/>
          <w:numId w:val="25"/>
        </w:numPr>
        <w:tabs>
          <w:tab w:val="left" w:pos="1134"/>
        </w:tabs>
        <w:ind w:left="1134" w:hanging="425"/>
        <w:jc w:val="both"/>
      </w:pPr>
      <w:r w:rsidRPr="00225C6A">
        <w:t>Wymagania wynikające z potrzeb kształtowania przestrzeni publicznych: nie występuje potrzeba określenia.</w:t>
      </w:r>
    </w:p>
    <w:p w14:paraId="2378CBA7" w14:textId="77777777" w:rsidR="00626F97" w:rsidRPr="00225C6A" w:rsidRDefault="00626F97" w:rsidP="00592785">
      <w:pPr>
        <w:numPr>
          <w:ilvl w:val="0"/>
          <w:numId w:val="25"/>
        </w:numPr>
        <w:tabs>
          <w:tab w:val="left" w:pos="1134"/>
        </w:tabs>
        <w:ind w:left="1134" w:hanging="425"/>
        <w:jc w:val="both"/>
      </w:pPr>
      <w:r w:rsidRPr="00225C6A">
        <w:t>Parametry i wskaźniki kształtowania zabudowy oraz zagospodarowania terenu:</w:t>
      </w:r>
    </w:p>
    <w:p w14:paraId="6C297911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 xml:space="preserve">intensywność zabudowy: nie mniej niż 0,1 i nie więcej niż </w:t>
      </w:r>
      <w:r w:rsidR="0041695D" w:rsidRPr="00225C6A">
        <w:t>2</w:t>
      </w:r>
      <w:r w:rsidR="00E139DF" w:rsidRPr="00225C6A">
        <w:t>,0</w:t>
      </w:r>
      <w:r w:rsidRPr="00225C6A">
        <w:t xml:space="preserve"> działki budowlanej;</w:t>
      </w:r>
    </w:p>
    <w:p w14:paraId="0E16723F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 xml:space="preserve">minimalny udział powierzchni biologicznie czynnej: nie mniej niż </w:t>
      </w:r>
      <w:r w:rsidR="00C9005D" w:rsidRPr="00225C6A">
        <w:t>4</w:t>
      </w:r>
      <w:r w:rsidR="0006643B" w:rsidRPr="00225C6A">
        <w:t>0</w:t>
      </w:r>
      <w:r w:rsidRPr="00225C6A">
        <w:t>% działki budowlanej;</w:t>
      </w:r>
    </w:p>
    <w:p w14:paraId="0E29921D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>powierzc</w:t>
      </w:r>
      <w:r w:rsidR="00E11F50" w:rsidRPr="00225C6A">
        <w:t xml:space="preserve">hnia zabudowy: nie więcej niż </w:t>
      </w:r>
      <w:r w:rsidR="00C9005D" w:rsidRPr="00225C6A">
        <w:t>4</w:t>
      </w:r>
      <w:r w:rsidR="0006643B" w:rsidRPr="00225C6A">
        <w:t>0</w:t>
      </w:r>
      <w:r w:rsidRPr="00225C6A">
        <w:t>% powierzchni działki;</w:t>
      </w:r>
    </w:p>
    <w:p w14:paraId="6BD710FD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bookmarkStart w:id="2" w:name="_Hlk24095281"/>
      <w:r w:rsidRPr="00225C6A">
        <w:t>minimalna liczbę miejsc do parkowania nie mniej niż:</w:t>
      </w:r>
    </w:p>
    <w:p w14:paraId="34B3AB6D" w14:textId="77777777" w:rsidR="0041695D" w:rsidRPr="00225C6A" w:rsidRDefault="0006643B" w:rsidP="00592785">
      <w:pPr>
        <w:numPr>
          <w:ilvl w:val="0"/>
          <w:numId w:val="22"/>
        </w:numPr>
        <w:tabs>
          <w:tab w:val="left" w:pos="1418"/>
        </w:tabs>
        <w:ind w:left="1701" w:hanging="283"/>
        <w:jc w:val="both"/>
      </w:pPr>
      <w:r w:rsidRPr="00225C6A">
        <w:t xml:space="preserve">minimum 0,5 miejsca </w:t>
      </w:r>
      <w:r w:rsidR="00E139DF" w:rsidRPr="00225C6A">
        <w:t>100 m</w:t>
      </w:r>
      <w:r w:rsidR="00E139DF" w:rsidRPr="00225C6A">
        <w:rPr>
          <w:vertAlign w:val="superscript"/>
        </w:rPr>
        <w:t>2</w:t>
      </w:r>
      <w:r w:rsidR="00E139DF" w:rsidRPr="00225C6A">
        <w:t xml:space="preserve"> powierzchni usługowej</w:t>
      </w:r>
      <w:r w:rsidRPr="00225C6A">
        <w:t>,</w:t>
      </w:r>
    </w:p>
    <w:p w14:paraId="6BC455A1" w14:textId="77777777" w:rsidR="0006643B" w:rsidRPr="00225C6A" w:rsidRDefault="0006643B" w:rsidP="00592785">
      <w:pPr>
        <w:numPr>
          <w:ilvl w:val="0"/>
          <w:numId w:val="22"/>
        </w:numPr>
        <w:tabs>
          <w:tab w:val="left" w:pos="1418"/>
        </w:tabs>
        <w:ind w:left="1701" w:hanging="283"/>
        <w:jc w:val="both"/>
      </w:pPr>
      <w:r w:rsidRPr="00225C6A">
        <w:t>minimum 1 miejsce na 2 zatrudnionych,</w:t>
      </w:r>
    </w:p>
    <w:p w14:paraId="6615E3F1" w14:textId="77777777" w:rsidR="00626F97" w:rsidRPr="00225C6A" w:rsidRDefault="00626F97" w:rsidP="00592785">
      <w:pPr>
        <w:numPr>
          <w:ilvl w:val="0"/>
          <w:numId w:val="22"/>
        </w:numPr>
        <w:tabs>
          <w:tab w:val="left" w:pos="1418"/>
        </w:tabs>
        <w:ind w:left="1701" w:hanging="283"/>
        <w:jc w:val="both"/>
      </w:pPr>
      <w:r w:rsidRPr="00225C6A">
        <w:t>minimalna liczba miejsc parkingowych dla pojazdów za</w:t>
      </w:r>
      <w:r w:rsidR="0041695D" w:rsidRPr="00225C6A">
        <w:t>opatrzonych w kartę parkingową, minimum 1 miejsce na każde 15 miejsc parkingowych</w:t>
      </w:r>
      <w:r w:rsidRPr="00225C6A">
        <w:t>;</w:t>
      </w:r>
    </w:p>
    <w:p w14:paraId="70D68876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>realizacja miejsc do parkowania jako utwardzonych;</w:t>
      </w:r>
    </w:p>
    <w:bookmarkEnd w:id="2"/>
    <w:p w14:paraId="713E16FE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 xml:space="preserve">wysokość zabudowy: nie więcej niż </w:t>
      </w:r>
      <w:r w:rsidR="00C9005D" w:rsidRPr="00225C6A">
        <w:t>20</w:t>
      </w:r>
      <w:r w:rsidRPr="00225C6A">
        <w:t>,0 m,</w:t>
      </w:r>
    </w:p>
    <w:p w14:paraId="7604FF7D" w14:textId="77777777" w:rsidR="00626F97" w:rsidRPr="00225C6A" w:rsidRDefault="00626F97" w:rsidP="00592785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225C6A">
        <w:t>geometria dachów: dwu lub wielospadowe o kącie nachylania połaci do 45˚</w:t>
      </w:r>
      <w:r w:rsidR="0041695D" w:rsidRPr="00225C6A">
        <w:t>, dopuszcza się dachy płaskie</w:t>
      </w:r>
      <w:r w:rsidRPr="00225C6A">
        <w:t xml:space="preserve">, </w:t>
      </w:r>
    </w:p>
    <w:p w14:paraId="38CA49EF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Granice i sposoby zagospodarowania terenów lub obiektów podlegających ochronie, ustalonych na podstawie przepisów odrębnych: nie występuje potrzeba określenia;</w:t>
      </w:r>
    </w:p>
    <w:p w14:paraId="4383227A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 xml:space="preserve">Szczegółowe zasady i warunki scalania i podziału nieruchomości objętych planem </w:t>
      </w:r>
      <w:r w:rsidR="00225C6A">
        <w:t>-</w:t>
      </w:r>
      <w:r w:rsidRPr="00225C6A">
        <w:t xml:space="preserve"> nie występuje potrzeba określenia;</w:t>
      </w:r>
    </w:p>
    <w:p w14:paraId="18CE7532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Szczegółowe warunki zagospodarowania terenów oraz ograniczenia w ich użytkowaniu, w tym zakaz zabudowy: nie występuje potrzeba określenia.</w:t>
      </w:r>
    </w:p>
    <w:p w14:paraId="4372AE98" w14:textId="77777777" w:rsidR="00AB7675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rPr>
          <w:spacing w:val="-4"/>
        </w:rPr>
        <w:lastRenderedPageBreak/>
        <w:t>Zasady modernizacji, rozbudowy i budowy systemów komunikacji i infrastruktury</w:t>
      </w:r>
      <w:r w:rsidRPr="00225C6A">
        <w:t xml:space="preserve"> technicznej:</w:t>
      </w:r>
    </w:p>
    <w:p w14:paraId="21A0D63C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powiązanie sieci infrastruktury technicznej z układem zewnętrznym oraz zapewnienie dostępu do sieci, zgodnie z przepisami odrębnymi;</w:t>
      </w:r>
    </w:p>
    <w:p w14:paraId="32478D8B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lokalizacje sieci infrastruktury technicznej na całym obszarze opracowania planu, zgodnie z przepisami odrębnymi;</w:t>
      </w:r>
    </w:p>
    <w:p w14:paraId="7E0DEDDA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 xml:space="preserve">zaopatrzenie w kanalizację sanitarną: odprowadzanie ścieków </w:t>
      </w:r>
      <w:r w:rsidRPr="00225C6A">
        <w:rPr>
          <w:spacing w:val="-4"/>
        </w:rPr>
        <w:t>do istniejącej lub projektowanej miejskiej sieci kanalizacji sanitarnej;</w:t>
      </w:r>
    </w:p>
    <w:p w14:paraId="776AB4A9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zaopatrzenie w wodę: z istniejącej lub projektowanej sieci wodociągowej;</w:t>
      </w:r>
    </w:p>
    <w:p w14:paraId="53A1A9F6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zagospodarowanie wód opadowych i roztopowych w granicach działki, zgodnie</w:t>
      </w:r>
      <w:r w:rsidRPr="00225C6A">
        <w:rPr>
          <w:rStyle w:val="apple-converted-space"/>
        </w:rPr>
        <w:t xml:space="preserve"> </w:t>
      </w:r>
      <w:r w:rsidRPr="00225C6A">
        <w:t xml:space="preserve">z przepisami odrębnymi, z dopuszczeniem odprowadzenia </w:t>
      </w:r>
      <w:r w:rsidR="00225C6A">
        <w:br/>
      </w:r>
      <w:r w:rsidRPr="00225C6A">
        <w:t>do sieci kanalizacji deszczowej;</w:t>
      </w:r>
    </w:p>
    <w:p w14:paraId="7C0211DD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 xml:space="preserve">ustala się zaopatrzenie w energię elektryczną: </w:t>
      </w:r>
    </w:p>
    <w:p w14:paraId="767440C5" w14:textId="77777777" w:rsidR="00626F97" w:rsidRPr="00225C6A" w:rsidRDefault="00626F97" w:rsidP="00592785">
      <w:pPr>
        <w:numPr>
          <w:ilvl w:val="0"/>
          <w:numId w:val="18"/>
        </w:numPr>
        <w:tabs>
          <w:tab w:val="left" w:pos="1418"/>
        </w:tabs>
        <w:ind w:left="1701" w:hanging="283"/>
        <w:jc w:val="both"/>
      </w:pPr>
      <w:r w:rsidRPr="00225C6A">
        <w:t>z istniejącej lub projektowanej sieci elektroenergetycznej,</w:t>
      </w:r>
    </w:p>
    <w:p w14:paraId="64E5BE93" w14:textId="77777777" w:rsidR="00AB7675" w:rsidRPr="00225C6A" w:rsidRDefault="00626F97" w:rsidP="00592785">
      <w:pPr>
        <w:numPr>
          <w:ilvl w:val="0"/>
          <w:numId w:val="18"/>
        </w:numPr>
        <w:tabs>
          <w:tab w:val="left" w:pos="1418"/>
        </w:tabs>
        <w:ind w:left="1701" w:hanging="283"/>
        <w:jc w:val="both"/>
      </w:pPr>
      <w:r w:rsidRPr="00225C6A">
        <w:t>dopuszcza się budowę stacji transformatorowych zgodnie z przepisami odrębnymi</w:t>
      </w:r>
      <w:r w:rsidR="00E11F50" w:rsidRPr="00225C6A">
        <w:t>;</w:t>
      </w:r>
    </w:p>
    <w:p w14:paraId="5CCCF4BA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zaopatrzenie w ciepło:</w:t>
      </w:r>
    </w:p>
    <w:p w14:paraId="3DD56FEB" w14:textId="77777777" w:rsidR="00626F97" w:rsidRPr="00225C6A" w:rsidRDefault="00626F97" w:rsidP="00592785">
      <w:pPr>
        <w:numPr>
          <w:ilvl w:val="0"/>
          <w:numId w:val="12"/>
        </w:numPr>
        <w:ind w:left="1701" w:hanging="283"/>
        <w:jc w:val="both"/>
      </w:pPr>
      <w:r w:rsidRPr="00225C6A">
        <w:t xml:space="preserve">ogrzewanie budynków z miejskiej istniejącej lub projektowanej sieci </w:t>
      </w:r>
      <w:r w:rsidRPr="00225C6A">
        <w:rPr>
          <w:spacing w:val="-4"/>
        </w:rPr>
        <w:t>ciepłowniczej lub indywidualnych źródeł zasilanych paliwami ekologicznymi</w:t>
      </w:r>
      <w:r w:rsidRPr="00225C6A">
        <w:t>,</w:t>
      </w:r>
    </w:p>
    <w:p w14:paraId="403356E0" w14:textId="77777777" w:rsidR="00626F97" w:rsidRPr="00225C6A" w:rsidRDefault="00626F97" w:rsidP="00592785">
      <w:pPr>
        <w:numPr>
          <w:ilvl w:val="0"/>
          <w:numId w:val="12"/>
        </w:numPr>
        <w:ind w:left="1701" w:hanging="283"/>
        <w:jc w:val="both"/>
      </w:pPr>
      <w:r w:rsidRPr="00225C6A">
        <w:t>dopuszcza się wykorzystanie odnawialnych źródeł energii o mocy nieprzekraczającej 100 kW, za wyjątkiem elektrowni wiatrowych,</w:t>
      </w:r>
    </w:p>
    <w:p w14:paraId="0C989450" w14:textId="77777777" w:rsidR="00626F97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>ustala się zaopatrzenie w gaz: z istniejącej lub projektowanej sieci przesyłowej;</w:t>
      </w:r>
    </w:p>
    <w:p w14:paraId="547E78BC" w14:textId="77777777" w:rsidR="00BB1789" w:rsidRPr="00225C6A" w:rsidRDefault="00626F97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rPr>
          <w:spacing w:val="-2"/>
        </w:rPr>
        <w:t>zaopatrzenie w infrastrukturę telekomunikacyjną: z istniejącej lub projektowanej</w:t>
      </w:r>
      <w:r w:rsidRPr="00225C6A">
        <w:t xml:space="preserve"> sieci, w</w:t>
      </w:r>
      <w:r w:rsidR="00343C59" w:rsidRPr="00225C6A">
        <w:t xml:space="preserve"> postaci instalacji podziemnych;</w:t>
      </w:r>
    </w:p>
    <w:p w14:paraId="12EA9C91" w14:textId="77777777" w:rsidR="00343C59" w:rsidRPr="00225C6A" w:rsidRDefault="00343C59" w:rsidP="00592785">
      <w:pPr>
        <w:numPr>
          <w:ilvl w:val="0"/>
          <w:numId w:val="32"/>
        </w:numPr>
        <w:tabs>
          <w:tab w:val="left" w:pos="1418"/>
        </w:tabs>
        <w:ind w:left="1418" w:hanging="284"/>
        <w:jc w:val="both"/>
      </w:pPr>
      <w:r w:rsidRPr="00225C6A">
        <w:t xml:space="preserve">ustala </w:t>
      </w:r>
      <w:r w:rsidR="00BB1789" w:rsidRPr="00225C6A">
        <w:t xml:space="preserve">się obsługę komunikacyjną poprzez dostęp do ulicy Gdańskiej i ulicy Jana Pawła </w:t>
      </w:r>
      <w:r w:rsidR="00592785" w:rsidRPr="00225C6A">
        <w:t>II zlokalizowanych</w:t>
      </w:r>
      <w:r w:rsidR="00BB1789" w:rsidRPr="00225C6A">
        <w:t xml:space="preserve"> poza granicami planu;</w:t>
      </w:r>
    </w:p>
    <w:p w14:paraId="4D85191A" w14:textId="77777777" w:rsidR="00626F97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Sposób i termin tymczasowego zagospodarowania, urządzania i użytkowania terenów: nie występuje potrzeba określenia.</w:t>
      </w:r>
    </w:p>
    <w:p w14:paraId="0620DDA7" w14:textId="77777777" w:rsidR="00E11F50" w:rsidRPr="00225C6A" w:rsidRDefault="00626F97" w:rsidP="00592785">
      <w:pPr>
        <w:numPr>
          <w:ilvl w:val="0"/>
          <w:numId w:val="25"/>
        </w:numPr>
        <w:ind w:left="1134" w:hanging="425"/>
        <w:jc w:val="both"/>
      </w:pPr>
      <w:r w:rsidRPr="00225C6A">
        <w:t>Stawki procentowe, na podstawie których ustala się opłatę, o której mowa w art. 36 ust. 4 ustawy o planowaniu i zagospodarowaniu przestrzennym wynosi 30%.</w:t>
      </w:r>
    </w:p>
    <w:p w14:paraId="35E41607" w14:textId="77777777" w:rsidR="00E139DF" w:rsidRPr="00225C6A" w:rsidRDefault="00E139DF" w:rsidP="00592785">
      <w:pPr>
        <w:jc w:val="both"/>
      </w:pPr>
    </w:p>
    <w:p w14:paraId="0A2DD387" w14:textId="77777777" w:rsidR="00BB1789" w:rsidRPr="00225C6A" w:rsidRDefault="00E139DF" w:rsidP="00592785">
      <w:pPr>
        <w:numPr>
          <w:ilvl w:val="0"/>
          <w:numId w:val="9"/>
        </w:numPr>
        <w:ind w:hanging="578"/>
        <w:jc w:val="both"/>
      </w:pPr>
      <w:r w:rsidRPr="00225C6A">
        <w:t xml:space="preserve">Dla terenu oznaczonego na rysunku planu symbolem </w:t>
      </w:r>
      <w:r w:rsidR="00674D94" w:rsidRPr="00225C6A">
        <w:rPr>
          <w:b/>
        </w:rPr>
        <w:t>3</w:t>
      </w:r>
      <w:r w:rsidRPr="00225C6A">
        <w:rPr>
          <w:b/>
        </w:rPr>
        <w:t>U</w:t>
      </w:r>
      <w:r w:rsidRPr="00225C6A">
        <w:t xml:space="preserve"> ustala się:</w:t>
      </w:r>
    </w:p>
    <w:p w14:paraId="1B189260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Przeznaczenie:</w:t>
      </w:r>
      <w:r w:rsidRPr="00225C6A">
        <w:rPr>
          <w:bCs/>
        </w:rPr>
        <w:t xml:space="preserve"> teren zabudowy usługowej;</w:t>
      </w:r>
    </w:p>
    <w:p w14:paraId="18B4266C" w14:textId="77777777" w:rsidR="00BB1789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Zasady ochrony i kształtowania ładu przestrzennego:</w:t>
      </w:r>
    </w:p>
    <w:p w14:paraId="5232C3E4" w14:textId="77777777" w:rsidR="00E139DF" w:rsidRPr="00225C6A" w:rsidRDefault="00E139DF" w:rsidP="00592785">
      <w:pPr>
        <w:numPr>
          <w:ilvl w:val="0"/>
          <w:numId w:val="36"/>
        </w:numPr>
        <w:tabs>
          <w:tab w:val="left" w:pos="1418"/>
        </w:tabs>
        <w:ind w:left="1418" w:hanging="284"/>
        <w:jc w:val="both"/>
      </w:pPr>
      <w:r w:rsidRPr="00225C6A">
        <w:t>ustala się realizację zabudowy w obrębie nieprzekraczalnych linii zabudowy zgodnie z rysunkiem planu,</w:t>
      </w:r>
    </w:p>
    <w:p w14:paraId="0091E6B0" w14:textId="77777777" w:rsidR="00E139DF" w:rsidRPr="00225C6A" w:rsidRDefault="00E139DF" w:rsidP="00592785">
      <w:pPr>
        <w:numPr>
          <w:ilvl w:val="0"/>
          <w:numId w:val="36"/>
        </w:numPr>
        <w:tabs>
          <w:tab w:val="left" w:pos="1418"/>
        </w:tabs>
        <w:ind w:left="1418" w:hanging="284"/>
        <w:jc w:val="both"/>
      </w:pPr>
      <w:r w:rsidRPr="00225C6A">
        <w:t>dopuszcza się kondygnacje podziemne,</w:t>
      </w:r>
    </w:p>
    <w:p w14:paraId="784B8DC7" w14:textId="77777777" w:rsidR="00E139DF" w:rsidRPr="00225C6A" w:rsidRDefault="00E139DF" w:rsidP="00592785">
      <w:pPr>
        <w:numPr>
          <w:ilvl w:val="0"/>
          <w:numId w:val="36"/>
        </w:numPr>
        <w:tabs>
          <w:tab w:val="left" w:pos="1418"/>
        </w:tabs>
        <w:ind w:left="1418" w:hanging="284"/>
        <w:jc w:val="both"/>
      </w:pPr>
      <w:r w:rsidRPr="00225C6A">
        <w:t>ustala się zakaz pokryć dachowych w kolorach: niebieskim, żółtym i zielonym we wszystkich odcieniach;</w:t>
      </w:r>
    </w:p>
    <w:p w14:paraId="058B1311" w14:textId="77777777" w:rsidR="00BB1789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Zasady ochrony środowiska, przyrody i krajobrazu:</w:t>
      </w:r>
    </w:p>
    <w:p w14:paraId="43673749" w14:textId="77777777" w:rsidR="00E139DF" w:rsidRPr="00225C6A" w:rsidRDefault="00E139DF" w:rsidP="00592785">
      <w:pPr>
        <w:numPr>
          <w:ilvl w:val="0"/>
          <w:numId w:val="37"/>
        </w:numPr>
        <w:tabs>
          <w:tab w:val="left" w:pos="1418"/>
        </w:tabs>
        <w:ind w:left="1418" w:hanging="284"/>
        <w:jc w:val="both"/>
      </w:pPr>
      <w:r w:rsidRPr="00225C6A">
        <w:t>ustala się segregację i zagospodarowanie odpadów, zgodnie z lokalnymi przepisami,</w:t>
      </w:r>
    </w:p>
    <w:p w14:paraId="69C0C9A1" w14:textId="77777777" w:rsidR="00E139DF" w:rsidRPr="00225C6A" w:rsidRDefault="00E139DF" w:rsidP="00592785">
      <w:pPr>
        <w:numPr>
          <w:ilvl w:val="0"/>
          <w:numId w:val="37"/>
        </w:numPr>
        <w:tabs>
          <w:tab w:val="left" w:pos="1418"/>
        </w:tabs>
        <w:ind w:left="1418" w:hanging="284"/>
        <w:jc w:val="both"/>
      </w:pPr>
      <w:r w:rsidRPr="00225C6A">
        <w:t>ustala się zakaz lokalizacji przedsięwzięć mogących znacząco oddziaływać na środowisko, za wyjątkiem obiektów infrastruktury technicznej i komunikacji;</w:t>
      </w:r>
    </w:p>
    <w:p w14:paraId="240404B9" w14:textId="77777777" w:rsidR="00E139DF" w:rsidRPr="00225C6A" w:rsidRDefault="00E139DF" w:rsidP="00592785">
      <w:pPr>
        <w:numPr>
          <w:ilvl w:val="0"/>
          <w:numId w:val="35"/>
        </w:numPr>
        <w:tabs>
          <w:tab w:val="left" w:pos="1134"/>
        </w:tabs>
        <w:ind w:left="1134" w:hanging="425"/>
        <w:jc w:val="both"/>
      </w:pPr>
      <w:r w:rsidRPr="00225C6A">
        <w:t>Zasady kształtowania krajobrazu: nie występuje potrzeba określania.</w:t>
      </w:r>
    </w:p>
    <w:p w14:paraId="493601E0" w14:textId="77777777" w:rsidR="00E139DF" w:rsidRPr="00225C6A" w:rsidRDefault="00E139DF" w:rsidP="00592785">
      <w:pPr>
        <w:numPr>
          <w:ilvl w:val="0"/>
          <w:numId w:val="35"/>
        </w:numPr>
        <w:tabs>
          <w:tab w:val="left" w:pos="1134"/>
        </w:tabs>
        <w:ind w:left="1134" w:hanging="425"/>
        <w:jc w:val="both"/>
      </w:pPr>
      <w:r w:rsidRPr="00225C6A">
        <w:t>Zasady ochrony dziedzictwa kulturowego i zabytków, w tym krajobrazów kulturowych, oraz dóbr kultury współczesnej: nie występuje potrzeba określenia.</w:t>
      </w:r>
    </w:p>
    <w:p w14:paraId="37F2D1F5" w14:textId="77777777" w:rsidR="00E139DF" w:rsidRPr="00225C6A" w:rsidRDefault="00E139DF" w:rsidP="00592785">
      <w:pPr>
        <w:numPr>
          <w:ilvl w:val="0"/>
          <w:numId w:val="35"/>
        </w:numPr>
        <w:tabs>
          <w:tab w:val="left" w:pos="1134"/>
        </w:tabs>
        <w:ind w:left="1134" w:hanging="425"/>
        <w:jc w:val="both"/>
      </w:pPr>
      <w:r w:rsidRPr="00225C6A">
        <w:t>Wymagania wynikające z potrzeb kształtowania przestrzeni publicznych: nie występuje potrzeba określenia.</w:t>
      </w:r>
    </w:p>
    <w:p w14:paraId="796D66D6" w14:textId="77777777" w:rsidR="00BB1789" w:rsidRPr="00225C6A" w:rsidRDefault="00E139DF" w:rsidP="00592785">
      <w:pPr>
        <w:numPr>
          <w:ilvl w:val="0"/>
          <w:numId w:val="35"/>
        </w:numPr>
        <w:tabs>
          <w:tab w:val="left" w:pos="1134"/>
        </w:tabs>
        <w:ind w:left="1134" w:hanging="425"/>
        <w:jc w:val="both"/>
      </w:pPr>
      <w:r w:rsidRPr="00225C6A">
        <w:t>Parametry i wskaźniki kształtowania zabudowy oraz zagospodarowania terenu:</w:t>
      </w:r>
    </w:p>
    <w:p w14:paraId="750F20D7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lastRenderedPageBreak/>
        <w:t xml:space="preserve">intensywność zabudowy: nie mniej niż 0,1 i nie więcej niż </w:t>
      </w:r>
      <w:r w:rsidR="00BB1789" w:rsidRPr="00225C6A">
        <w:t>1,0</w:t>
      </w:r>
      <w:r w:rsidRPr="00225C6A">
        <w:t xml:space="preserve"> działki budowlanej;</w:t>
      </w:r>
    </w:p>
    <w:p w14:paraId="606BD71B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 xml:space="preserve">minimalny udział powierzchni biologicznie czynnej: nie mniej niż </w:t>
      </w:r>
      <w:r w:rsidR="00BB1789" w:rsidRPr="00225C6A">
        <w:t>40</w:t>
      </w:r>
      <w:r w:rsidRPr="00225C6A">
        <w:t>% działki budowlanej;</w:t>
      </w:r>
    </w:p>
    <w:p w14:paraId="24282284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 xml:space="preserve">powierzchnia zabudowy: nie więcej niż </w:t>
      </w:r>
      <w:r w:rsidR="00BB1789" w:rsidRPr="00225C6A">
        <w:t>4</w:t>
      </w:r>
      <w:r w:rsidRPr="00225C6A">
        <w:t>0% powierzchni działki;</w:t>
      </w:r>
    </w:p>
    <w:p w14:paraId="32C0F786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>minimalna liczbę miejsc do parkowania nie mniej niż:</w:t>
      </w:r>
    </w:p>
    <w:p w14:paraId="2FE493CA" w14:textId="77777777" w:rsidR="00E139DF" w:rsidRPr="00225C6A" w:rsidRDefault="00BB1789" w:rsidP="00225C6A">
      <w:pPr>
        <w:numPr>
          <w:ilvl w:val="0"/>
          <w:numId w:val="22"/>
        </w:numPr>
        <w:tabs>
          <w:tab w:val="left" w:pos="1843"/>
        </w:tabs>
        <w:ind w:left="1843" w:hanging="283"/>
        <w:jc w:val="both"/>
      </w:pPr>
      <w:r w:rsidRPr="00225C6A">
        <w:t>minimum 1 miejsce</w:t>
      </w:r>
      <w:r w:rsidR="00E139DF" w:rsidRPr="00225C6A">
        <w:t xml:space="preserve">, </w:t>
      </w:r>
    </w:p>
    <w:p w14:paraId="6F068A7D" w14:textId="77777777" w:rsidR="00E139DF" w:rsidRPr="00225C6A" w:rsidRDefault="00E139DF" w:rsidP="00225C6A">
      <w:pPr>
        <w:numPr>
          <w:ilvl w:val="0"/>
          <w:numId w:val="22"/>
        </w:numPr>
        <w:tabs>
          <w:tab w:val="left" w:pos="1843"/>
        </w:tabs>
        <w:ind w:left="1843" w:hanging="283"/>
        <w:jc w:val="both"/>
        <w:rPr>
          <w:spacing w:val="-4"/>
        </w:rPr>
      </w:pPr>
      <w:r w:rsidRPr="00225C6A">
        <w:t xml:space="preserve">minimalna liczba miejsc parkingowych dla pojazdów zaopatrzonych </w:t>
      </w:r>
      <w:r w:rsidR="00225C6A">
        <w:br/>
      </w:r>
      <w:r w:rsidRPr="00225C6A">
        <w:rPr>
          <w:spacing w:val="-4"/>
        </w:rPr>
        <w:t>w kartę parkingową, minimum 1 miejsce na każde 15 miejsc parkingowych;</w:t>
      </w:r>
    </w:p>
    <w:p w14:paraId="68FBE301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>realizacja miejsc do parkowania jako utwardzonych;</w:t>
      </w:r>
    </w:p>
    <w:p w14:paraId="22409879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>wysokość zabudowy: nie więcej niż 9,0 m,</w:t>
      </w:r>
    </w:p>
    <w:p w14:paraId="23261E25" w14:textId="77777777" w:rsidR="00E139DF" w:rsidRPr="00225C6A" w:rsidRDefault="00E139DF" w:rsidP="00592785">
      <w:pPr>
        <w:numPr>
          <w:ilvl w:val="0"/>
          <w:numId w:val="38"/>
        </w:numPr>
        <w:tabs>
          <w:tab w:val="left" w:pos="1560"/>
        </w:tabs>
        <w:ind w:left="1560" w:hanging="426"/>
        <w:jc w:val="both"/>
      </w:pPr>
      <w:r w:rsidRPr="00225C6A">
        <w:t xml:space="preserve">geometria dachów: dwu lub wielospadowe o kącie nachylania połaci do 45˚, dopuszcza się dachy płaskie, </w:t>
      </w:r>
    </w:p>
    <w:p w14:paraId="085F3029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Granice i sposoby zagospodarowania terenów lub obiektów podlegających ochronie, ustalonych na podstawie przepisów odrębnych: nie występuje potrzeba określenia;</w:t>
      </w:r>
    </w:p>
    <w:p w14:paraId="46C749A5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 xml:space="preserve">Szczegółowe zasady i warunki scalania i podziału nieruchomości objętych planem </w:t>
      </w:r>
      <w:r w:rsidR="00225C6A">
        <w:t>-</w:t>
      </w:r>
      <w:r w:rsidRPr="00225C6A">
        <w:t xml:space="preserve"> nie występuje potrzeba określenia;</w:t>
      </w:r>
    </w:p>
    <w:p w14:paraId="666113FC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Szczegółowe warunki zagospodarowania terenów oraz ograniczenia w ich użytkowaniu, w tym zakaz zabudowy: nie występuje potrzeba określenia.</w:t>
      </w:r>
    </w:p>
    <w:p w14:paraId="35488A9B" w14:textId="77777777" w:rsidR="00BB1789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rPr>
          <w:spacing w:val="-4"/>
        </w:rPr>
        <w:t>Zasady modernizacji, rozbudowy i budowy systemów komunikacji i infrastruktury</w:t>
      </w:r>
      <w:r w:rsidRPr="00225C6A">
        <w:t xml:space="preserve"> technicznej:</w:t>
      </w:r>
    </w:p>
    <w:p w14:paraId="3AFA30E7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powiązanie sieci infrastruktury technicznej z układem zewnętrznym oraz zapewnienie dostępu do sieci, zgodnie z przepisami odrębnymi;</w:t>
      </w:r>
    </w:p>
    <w:p w14:paraId="2B32EA88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lokalizacje sieci infrastruktury technicznej na całym obszarze opracowania planu, zgodnie z przepisami odrębnymi;</w:t>
      </w:r>
    </w:p>
    <w:p w14:paraId="5B5C2A5D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 xml:space="preserve">zaopatrzenie w kanalizację sanitarną: odprowadzanie ścieków </w:t>
      </w:r>
      <w:r w:rsidRPr="00225C6A">
        <w:rPr>
          <w:spacing w:val="-4"/>
        </w:rPr>
        <w:t>do istniejącej lub projektowanej miejskiej sieci kanalizacji sanitarnej;</w:t>
      </w:r>
    </w:p>
    <w:p w14:paraId="79D20C25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zaopatrzenie w wodę: z istniejącej lub projektowanej sieci wodociągowej;</w:t>
      </w:r>
    </w:p>
    <w:p w14:paraId="0A28E9E5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zagospodarowanie wód opadowych i roztopowych w granicach działki, zgodnie</w:t>
      </w:r>
      <w:r w:rsidRPr="00225C6A">
        <w:rPr>
          <w:rStyle w:val="apple-converted-space"/>
        </w:rPr>
        <w:t xml:space="preserve"> </w:t>
      </w:r>
      <w:r w:rsidRPr="00225C6A">
        <w:t xml:space="preserve">z przepisami odrębnymi, z dopuszczeniem odprowadzenia </w:t>
      </w:r>
      <w:r w:rsidR="00BC6726">
        <w:br/>
      </w:r>
      <w:r w:rsidRPr="00225C6A">
        <w:t>do sieci kanalizacji deszczowej;</w:t>
      </w:r>
    </w:p>
    <w:p w14:paraId="5EA1B2CF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zaopatrzenie w energię elektryczną:</w:t>
      </w:r>
    </w:p>
    <w:p w14:paraId="7C558703" w14:textId="77777777" w:rsidR="00E139DF" w:rsidRPr="00225C6A" w:rsidRDefault="00E139DF" w:rsidP="00592785">
      <w:pPr>
        <w:numPr>
          <w:ilvl w:val="0"/>
          <w:numId w:val="18"/>
        </w:numPr>
        <w:tabs>
          <w:tab w:val="left" w:pos="1418"/>
        </w:tabs>
        <w:ind w:left="1701" w:hanging="283"/>
        <w:jc w:val="both"/>
      </w:pPr>
      <w:r w:rsidRPr="00225C6A">
        <w:t>z istniejącej lub projektowanej sieci elektroenergetycznej,</w:t>
      </w:r>
    </w:p>
    <w:p w14:paraId="782979CB" w14:textId="77777777" w:rsidR="00E139DF" w:rsidRPr="00225C6A" w:rsidRDefault="00E139DF" w:rsidP="00592785">
      <w:pPr>
        <w:numPr>
          <w:ilvl w:val="0"/>
          <w:numId w:val="18"/>
        </w:numPr>
        <w:tabs>
          <w:tab w:val="left" w:pos="1418"/>
        </w:tabs>
        <w:ind w:left="1701" w:hanging="283"/>
        <w:jc w:val="both"/>
      </w:pPr>
      <w:r w:rsidRPr="00225C6A">
        <w:t>dopuszcza się budowę stacji transformatorowych zgodnie z przepisami odrębnymi;</w:t>
      </w:r>
    </w:p>
    <w:p w14:paraId="6A325CC0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zaopatrzenie w ciepło:</w:t>
      </w:r>
    </w:p>
    <w:p w14:paraId="291D2345" w14:textId="77777777" w:rsidR="00E139DF" w:rsidRPr="00225C6A" w:rsidRDefault="00E139DF" w:rsidP="00592785">
      <w:pPr>
        <w:numPr>
          <w:ilvl w:val="0"/>
          <w:numId w:val="12"/>
        </w:numPr>
        <w:ind w:left="1701" w:hanging="283"/>
        <w:jc w:val="both"/>
        <w:rPr>
          <w:spacing w:val="-4"/>
        </w:rPr>
      </w:pPr>
      <w:r w:rsidRPr="00225C6A">
        <w:t xml:space="preserve">ogrzewanie budynków z miejskiej istniejącej lub projektowanej sieci </w:t>
      </w:r>
      <w:r w:rsidRPr="00225C6A">
        <w:rPr>
          <w:spacing w:val="-4"/>
        </w:rPr>
        <w:t>ciepłowniczej lub indywidualnych źródeł zasilanych paliwami ekologicznymi,</w:t>
      </w:r>
    </w:p>
    <w:p w14:paraId="5DDEC8A9" w14:textId="77777777" w:rsidR="00E139DF" w:rsidRPr="00225C6A" w:rsidRDefault="00E139DF" w:rsidP="00592785">
      <w:pPr>
        <w:numPr>
          <w:ilvl w:val="0"/>
          <w:numId w:val="12"/>
        </w:numPr>
        <w:ind w:left="1701" w:hanging="283"/>
        <w:jc w:val="both"/>
      </w:pPr>
      <w:r w:rsidRPr="00225C6A">
        <w:t>dopuszcza się wykorzystanie odnawialnych źródeł energii o mocy nieprzekraczającej 100 kW, za wyjątkiem elektrowni wiatrowych,</w:t>
      </w:r>
    </w:p>
    <w:p w14:paraId="46C4D6E2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t>ustala się zaopatrzenie w gaz: z istniejącej lub projektowanej sieci przesyłowej;</w:t>
      </w:r>
    </w:p>
    <w:p w14:paraId="08746DA1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ind w:left="1418" w:hanging="284"/>
        <w:jc w:val="both"/>
      </w:pPr>
      <w:r w:rsidRPr="00225C6A">
        <w:rPr>
          <w:spacing w:val="-2"/>
        </w:rPr>
        <w:t>zaopatrzenie w infrastrukturę telekomunikacyjną: z istniejącej lub projektowanej</w:t>
      </w:r>
      <w:r w:rsidRPr="00225C6A">
        <w:t xml:space="preserve"> sieci, w postaci instalacji podziemnych;</w:t>
      </w:r>
    </w:p>
    <w:p w14:paraId="759E5E93" w14:textId="77777777" w:rsidR="00E139DF" w:rsidRPr="00225C6A" w:rsidRDefault="00E139DF" w:rsidP="00592785">
      <w:pPr>
        <w:numPr>
          <w:ilvl w:val="0"/>
          <w:numId w:val="39"/>
        </w:numPr>
        <w:tabs>
          <w:tab w:val="left" w:pos="1418"/>
        </w:tabs>
        <w:jc w:val="both"/>
      </w:pPr>
      <w:r w:rsidRPr="00225C6A">
        <w:t xml:space="preserve">ustala się obsługę komunikacyjną poprzez dostęp do ulicy </w:t>
      </w:r>
      <w:r w:rsidR="00592785" w:rsidRPr="00225C6A">
        <w:t>Gdańskiej zlokalizowanej</w:t>
      </w:r>
      <w:r w:rsidRPr="00225C6A">
        <w:t xml:space="preserve"> poza granicami planu;</w:t>
      </w:r>
    </w:p>
    <w:p w14:paraId="579F2A3B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Sposób i termin tymczasowego zagospodarowania, urządzania i użytkowania terenów: nie występuje potrzeba określenia.</w:t>
      </w:r>
    </w:p>
    <w:p w14:paraId="10240AF4" w14:textId="77777777" w:rsidR="00E139DF" w:rsidRPr="00225C6A" w:rsidRDefault="00E139DF" w:rsidP="00592785">
      <w:pPr>
        <w:numPr>
          <w:ilvl w:val="0"/>
          <w:numId w:val="35"/>
        </w:numPr>
        <w:ind w:left="1134" w:hanging="425"/>
        <w:jc w:val="both"/>
      </w:pPr>
      <w:r w:rsidRPr="00225C6A">
        <w:t>Stawki procentowe, na podstawie których ustala się opłatę, o której mowa w art. 36 ust. 4 ustawy o planowaniu i zagospodarowaniu przestrzennym wynosi 30%.</w:t>
      </w:r>
    </w:p>
    <w:p w14:paraId="51C4ED3C" w14:textId="77777777" w:rsidR="00E11F50" w:rsidRPr="00225C6A" w:rsidRDefault="00E11F50" w:rsidP="00592785">
      <w:pPr>
        <w:tabs>
          <w:tab w:val="left" w:pos="284"/>
        </w:tabs>
        <w:jc w:val="both"/>
      </w:pPr>
    </w:p>
    <w:p w14:paraId="0ACDF24A" w14:textId="77777777" w:rsidR="00E11F50" w:rsidRPr="00225C6A" w:rsidRDefault="00E11F50" w:rsidP="00592785">
      <w:pPr>
        <w:numPr>
          <w:ilvl w:val="0"/>
          <w:numId w:val="9"/>
        </w:numPr>
        <w:jc w:val="both"/>
      </w:pPr>
      <w:r w:rsidRPr="00225C6A">
        <w:lastRenderedPageBreak/>
        <w:t xml:space="preserve">Dla terenu oznaczonego na rysunku planu symbolem </w:t>
      </w:r>
      <w:r w:rsidR="00674D94" w:rsidRPr="00225C6A">
        <w:rPr>
          <w:b/>
        </w:rPr>
        <w:t>2</w:t>
      </w:r>
      <w:r w:rsidR="00D76A2A" w:rsidRPr="00225C6A">
        <w:rPr>
          <w:b/>
        </w:rPr>
        <w:t>K</w:t>
      </w:r>
      <w:r w:rsidR="00BB1789" w:rsidRPr="00225C6A">
        <w:rPr>
          <w:b/>
        </w:rPr>
        <w:t>X</w:t>
      </w:r>
      <w:r w:rsidRPr="00225C6A">
        <w:t xml:space="preserve"> ustala się:</w:t>
      </w:r>
    </w:p>
    <w:p w14:paraId="19D4AC0B" w14:textId="77777777" w:rsidR="00E11F50" w:rsidRPr="00225C6A" w:rsidRDefault="00E11F50" w:rsidP="00592785">
      <w:pPr>
        <w:keepLines/>
        <w:numPr>
          <w:ilvl w:val="0"/>
          <w:numId w:val="34"/>
        </w:numPr>
        <w:ind w:left="1134" w:hanging="425"/>
        <w:jc w:val="both"/>
      </w:pPr>
      <w:r w:rsidRPr="00225C6A">
        <w:t xml:space="preserve">Przeznaczenie terenu </w:t>
      </w:r>
      <w:r w:rsidR="00592785" w:rsidRPr="00225C6A">
        <w:t>-</w:t>
      </w:r>
      <w:r w:rsidRPr="00225C6A">
        <w:t xml:space="preserve"> teren </w:t>
      </w:r>
      <w:r w:rsidR="00BB1789" w:rsidRPr="00225C6A">
        <w:t>ciągu pieszego</w:t>
      </w:r>
      <w:r w:rsidRPr="00225C6A">
        <w:t>.</w:t>
      </w:r>
    </w:p>
    <w:p w14:paraId="0ED8ED74" w14:textId="77777777" w:rsidR="00E11F50" w:rsidRPr="00225C6A" w:rsidRDefault="00E11F50" w:rsidP="00592785">
      <w:pPr>
        <w:keepLines/>
        <w:numPr>
          <w:ilvl w:val="0"/>
          <w:numId w:val="34"/>
        </w:numPr>
        <w:ind w:left="1134" w:hanging="425"/>
        <w:jc w:val="both"/>
      </w:pPr>
      <w:r w:rsidRPr="00225C6A">
        <w:t>Zasady kształtowania zabudowy:</w:t>
      </w:r>
    </w:p>
    <w:p w14:paraId="331A2B3F" w14:textId="77777777" w:rsidR="00E11F50" w:rsidRPr="00225C6A" w:rsidRDefault="00E11F50" w:rsidP="00592785">
      <w:pPr>
        <w:keepLines/>
        <w:numPr>
          <w:ilvl w:val="0"/>
          <w:numId w:val="33"/>
        </w:numPr>
        <w:tabs>
          <w:tab w:val="left" w:pos="1418"/>
        </w:tabs>
        <w:ind w:left="1418" w:hanging="284"/>
        <w:jc w:val="both"/>
      </w:pPr>
      <w:r w:rsidRPr="00225C6A">
        <w:t xml:space="preserve">dostępność do </w:t>
      </w:r>
      <w:r w:rsidR="00BB1789" w:rsidRPr="00225C6A">
        <w:t>ciągu</w:t>
      </w:r>
      <w:r w:rsidRPr="00225C6A">
        <w:t xml:space="preserve"> nieograniczona,</w:t>
      </w:r>
    </w:p>
    <w:p w14:paraId="0DF9DAE5" w14:textId="77777777" w:rsidR="00E11F50" w:rsidRPr="00225C6A" w:rsidRDefault="00E11F50" w:rsidP="00592785">
      <w:pPr>
        <w:keepLines/>
        <w:numPr>
          <w:ilvl w:val="0"/>
          <w:numId w:val="33"/>
        </w:numPr>
        <w:tabs>
          <w:tab w:val="left" w:pos="1418"/>
        </w:tabs>
        <w:ind w:left="1418" w:hanging="284"/>
        <w:jc w:val="both"/>
      </w:pPr>
      <w:r w:rsidRPr="00225C6A">
        <w:t>szerokość w liniach rozgraniczających zgodnie z rysunkiem planu,</w:t>
      </w:r>
    </w:p>
    <w:p w14:paraId="454F2FD9" w14:textId="77777777" w:rsidR="00E11F50" w:rsidRPr="00225C6A" w:rsidRDefault="00E11F50" w:rsidP="00592785">
      <w:pPr>
        <w:keepLines/>
        <w:numPr>
          <w:ilvl w:val="0"/>
          <w:numId w:val="33"/>
        </w:numPr>
        <w:tabs>
          <w:tab w:val="left" w:pos="1418"/>
        </w:tabs>
        <w:ind w:left="1418" w:hanging="284"/>
        <w:jc w:val="both"/>
      </w:pPr>
      <w:r w:rsidRPr="00225C6A">
        <w:t>dopuszcza się podział nieruchomości w zależności od potrzeb inwestycyjnych,</w:t>
      </w:r>
    </w:p>
    <w:p w14:paraId="09EB7B91" w14:textId="77777777" w:rsidR="00E11F50" w:rsidRPr="00225C6A" w:rsidRDefault="00E11F50" w:rsidP="00592785">
      <w:pPr>
        <w:keepLines/>
        <w:numPr>
          <w:ilvl w:val="0"/>
          <w:numId w:val="33"/>
        </w:numPr>
        <w:tabs>
          <w:tab w:val="left" w:pos="1418"/>
        </w:tabs>
        <w:ind w:left="1418" w:hanging="284"/>
        <w:jc w:val="both"/>
      </w:pPr>
      <w:r w:rsidRPr="00225C6A">
        <w:t>dopuszcza się wydzielanie działek na rzecz komunikacji i urzą</w:t>
      </w:r>
      <w:r w:rsidR="00BB1789" w:rsidRPr="00225C6A">
        <w:t>dzeń infrastruktury technicznej.</w:t>
      </w:r>
    </w:p>
    <w:p w14:paraId="29F01416" w14:textId="77777777" w:rsidR="00E11F50" w:rsidRPr="00225C6A" w:rsidRDefault="00E11F50" w:rsidP="00592785">
      <w:pPr>
        <w:keepLines/>
        <w:numPr>
          <w:ilvl w:val="0"/>
          <w:numId w:val="34"/>
        </w:numPr>
        <w:ind w:left="1134" w:hanging="425"/>
        <w:jc w:val="both"/>
      </w:pPr>
      <w:r w:rsidRPr="00225C6A">
        <w:t xml:space="preserve">Stawka procentowa na </w:t>
      </w:r>
      <w:r w:rsidR="00592785" w:rsidRPr="00225C6A">
        <w:t>podstawie,</w:t>
      </w:r>
      <w:r w:rsidRPr="00225C6A">
        <w:t xml:space="preserve"> której ustala się opłatę, o której mowa w art. 36 ust. 4 ustawy o planowaniu i zagospodarowaniu przestrzennym wynosi 0%.</w:t>
      </w:r>
    </w:p>
    <w:p w14:paraId="7A3F627C" w14:textId="77777777" w:rsidR="00626F97" w:rsidRPr="00225C6A" w:rsidRDefault="00626F97" w:rsidP="00592785">
      <w:pPr>
        <w:jc w:val="both"/>
      </w:pPr>
    </w:p>
    <w:p w14:paraId="6CB22EB9" w14:textId="77777777" w:rsidR="00EF358B" w:rsidRPr="00225C6A" w:rsidRDefault="00EF358B" w:rsidP="00592785">
      <w:pPr>
        <w:numPr>
          <w:ilvl w:val="0"/>
          <w:numId w:val="9"/>
        </w:numPr>
        <w:ind w:left="993" w:hanging="567"/>
        <w:jc w:val="both"/>
      </w:pPr>
      <w:r w:rsidRPr="00225C6A">
        <w:t>Wykonanie niniejszej uchwały powierza się Burmistrzowi Miasta Chojnice.</w:t>
      </w:r>
    </w:p>
    <w:p w14:paraId="0AB75CD5" w14:textId="77777777" w:rsidR="00E63EE4" w:rsidRPr="00225C6A" w:rsidRDefault="00E63EE4" w:rsidP="00592785">
      <w:pPr>
        <w:ind w:left="709"/>
        <w:jc w:val="both"/>
      </w:pPr>
    </w:p>
    <w:p w14:paraId="377100F7" w14:textId="77777777" w:rsidR="00954B85" w:rsidRPr="00225C6A" w:rsidRDefault="002A0869" w:rsidP="00592785">
      <w:pPr>
        <w:numPr>
          <w:ilvl w:val="0"/>
          <w:numId w:val="9"/>
        </w:numPr>
        <w:ind w:left="709" w:hanging="283"/>
        <w:jc w:val="both"/>
      </w:pPr>
      <w:r w:rsidRPr="00225C6A">
        <w:t>Uchwała wchodzi w życie po upływie 14 dni od dnia jej ogłoszenia w Dzienniku Urzędowym Województwa Pomorskiego.</w:t>
      </w:r>
    </w:p>
    <w:sectPr w:rsidR="00954B85" w:rsidRPr="00225C6A" w:rsidSect="00186ED5">
      <w:headerReference w:type="default" r:id="rId8"/>
      <w:footerReference w:type="default" r:id="rId9"/>
      <w:footerReference w:type="first" r:id="rId10"/>
      <w:pgSz w:w="11906" w:h="16838"/>
      <w:pgMar w:top="851" w:right="1417" w:bottom="1417" w:left="1417" w:header="708" w:footer="8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C1EF" w14:textId="77777777" w:rsidR="00374E5D" w:rsidRDefault="00374E5D">
      <w:r>
        <w:separator/>
      </w:r>
    </w:p>
  </w:endnote>
  <w:endnote w:type="continuationSeparator" w:id="0">
    <w:p w14:paraId="166C8C4B" w14:textId="77777777" w:rsidR="00374E5D" w:rsidRDefault="0037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0820" w14:textId="77777777" w:rsidR="00186ED5" w:rsidRDefault="00186E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005D">
      <w:rPr>
        <w:noProof/>
      </w:rPr>
      <w:t>3</w:t>
    </w:r>
    <w:r>
      <w:fldChar w:fldCharType="end"/>
    </w:r>
  </w:p>
  <w:p w14:paraId="09B97FAE" w14:textId="77777777" w:rsidR="00186ED5" w:rsidRDefault="00186E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5E6E" w14:textId="77777777" w:rsidR="00186ED5" w:rsidRDefault="00186E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00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5BAE" w14:textId="77777777" w:rsidR="00374E5D" w:rsidRDefault="00374E5D">
      <w:r>
        <w:separator/>
      </w:r>
    </w:p>
  </w:footnote>
  <w:footnote w:type="continuationSeparator" w:id="0">
    <w:p w14:paraId="40A140B5" w14:textId="77777777" w:rsidR="00374E5D" w:rsidRDefault="0037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3ADB" w14:textId="77777777" w:rsidR="00783FA8" w:rsidRDefault="00783FA8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CB0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D4DCA"/>
    <w:multiLevelType w:val="hybridMultilevel"/>
    <w:tmpl w:val="156EA48C"/>
    <w:lvl w:ilvl="0" w:tplc="6D18A6EA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075D2827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4F23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C7259C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C71F4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01AA2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F663162"/>
    <w:multiLevelType w:val="hybridMultilevel"/>
    <w:tmpl w:val="BE4C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D5412"/>
    <w:multiLevelType w:val="hybridMultilevel"/>
    <w:tmpl w:val="7E3683C6"/>
    <w:lvl w:ilvl="0" w:tplc="D6724EDE">
      <w:start w:val="1"/>
      <w:numFmt w:val="decimal"/>
      <w:lvlText w:val="§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1F41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A613C5"/>
    <w:multiLevelType w:val="hybridMultilevel"/>
    <w:tmpl w:val="1EF61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0B3A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3A2E83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A27EF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D0A60"/>
    <w:multiLevelType w:val="hybridMultilevel"/>
    <w:tmpl w:val="D9E4B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16B4"/>
    <w:multiLevelType w:val="hybridMultilevel"/>
    <w:tmpl w:val="BE4C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1034E"/>
    <w:multiLevelType w:val="hybridMultilevel"/>
    <w:tmpl w:val="1EF61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0B2"/>
    <w:multiLevelType w:val="hybridMultilevel"/>
    <w:tmpl w:val="EFF06046"/>
    <w:lvl w:ilvl="0" w:tplc="AE2A32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FC30E3"/>
    <w:multiLevelType w:val="hybridMultilevel"/>
    <w:tmpl w:val="6D54919A"/>
    <w:lvl w:ilvl="0" w:tplc="BEF438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CD4846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64509"/>
    <w:multiLevelType w:val="hybridMultilevel"/>
    <w:tmpl w:val="55729056"/>
    <w:lvl w:ilvl="0" w:tplc="40D8F500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7BDC"/>
    <w:multiLevelType w:val="hybridMultilevel"/>
    <w:tmpl w:val="00D41F5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E5792"/>
    <w:multiLevelType w:val="hybridMultilevel"/>
    <w:tmpl w:val="7EA27198"/>
    <w:lvl w:ilvl="0" w:tplc="BEF438D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FBA2F70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B76493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10211D"/>
    <w:multiLevelType w:val="hybridMultilevel"/>
    <w:tmpl w:val="0A3C095E"/>
    <w:lvl w:ilvl="0" w:tplc="BEF438D4">
      <w:start w:val="1"/>
      <w:numFmt w:val="bullet"/>
      <w:lvlText w:val="-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0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E192B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2B3195"/>
    <w:multiLevelType w:val="hybridMultilevel"/>
    <w:tmpl w:val="7CA09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2C23FC9"/>
    <w:multiLevelType w:val="hybridMultilevel"/>
    <w:tmpl w:val="704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063B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2236F3"/>
    <w:multiLevelType w:val="hybridMultilevel"/>
    <w:tmpl w:val="6276B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B7CB2"/>
    <w:multiLevelType w:val="hybridMultilevel"/>
    <w:tmpl w:val="53AEC5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F5563"/>
    <w:multiLevelType w:val="hybridMultilevel"/>
    <w:tmpl w:val="078274BE"/>
    <w:lvl w:ilvl="0" w:tplc="38DC9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14661">
    <w:abstractNumId w:val="8"/>
  </w:num>
  <w:num w:numId="2" w16cid:durableId="995955722">
    <w:abstractNumId w:val="17"/>
  </w:num>
  <w:num w:numId="3" w16cid:durableId="1958557899">
    <w:abstractNumId w:val="24"/>
  </w:num>
  <w:num w:numId="4" w16cid:durableId="334190278">
    <w:abstractNumId w:val="38"/>
  </w:num>
  <w:num w:numId="5" w16cid:durableId="1037268955">
    <w:abstractNumId w:val="33"/>
  </w:num>
  <w:num w:numId="6" w16cid:durableId="1776057039">
    <w:abstractNumId w:val="25"/>
  </w:num>
  <w:num w:numId="7" w16cid:durableId="557979538">
    <w:abstractNumId w:val="3"/>
  </w:num>
  <w:num w:numId="8" w16cid:durableId="1700204128">
    <w:abstractNumId w:val="30"/>
  </w:num>
  <w:num w:numId="9" w16cid:durableId="820197890">
    <w:abstractNumId w:val="10"/>
  </w:num>
  <w:num w:numId="10" w16cid:durableId="569266938">
    <w:abstractNumId w:val="20"/>
  </w:num>
  <w:num w:numId="11" w16cid:durableId="31734068">
    <w:abstractNumId w:val="23"/>
  </w:num>
  <w:num w:numId="12" w16cid:durableId="1012562100">
    <w:abstractNumId w:val="21"/>
  </w:num>
  <w:num w:numId="13" w16cid:durableId="1676685465">
    <w:abstractNumId w:val="34"/>
  </w:num>
  <w:num w:numId="14" w16cid:durableId="279804545">
    <w:abstractNumId w:val="13"/>
  </w:num>
  <w:num w:numId="15" w16cid:durableId="39326534">
    <w:abstractNumId w:val="22"/>
  </w:num>
  <w:num w:numId="16" w16cid:durableId="171342334">
    <w:abstractNumId w:val="36"/>
  </w:num>
  <w:num w:numId="17" w16cid:durableId="1404177682">
    <w:abstractNumId w:val="29"/>
  </w:num>
  <w:num w:numId="18" w16cid:durableId="228346689">
    <w:abstractNumId w:val="26"/>
  </w:num>
  <w:num w:numId="19" w16cid:durableId="789934373">
    <w:abstractNumId w:val="15"/>
  </w:num>
  <w:num w:numId="20" w16cid:durableId="1713461863">
    <w:abstractNumId w:val="28"/>
  </w:num>
  <w:num w:numId="21" w16cid:durableId="1535994793">
    <w:abstractNumId w:val="6"/>
  </w:num>
  <w:num w:numId="22" w16cid:durableId="1965962359">
    <w:abstractNumId w:val="1"/>
  </w:num>
  <w:num w:numId="23" w16cid:durableId="1952782137">
    <w:abstractNumId w:val="9"/>
  </w:num>
  <w:num w:numId="24" w16cid:durableId="527059565">
    <w:abstractNumId w:val="12"/>
  </w:num>
  <w:num w:numId="25" w16cid:durableId="2067214400">
    <w:abstractNumId w:val="14"/>
  </w:num>
  <w:num w:numId="26" w16cid:durableId="956445823">
    <w:abstractNumId w:val="27"/>
  </w:num>
  <w:num w:numId="27" w16cid:durableId="979649502">
    <w:abstractNumId w:val="2"/>
  </w:num>
  <w:num w:numId="28" w16cid:durableId="1448239068">
    <w:abstractNumId w:val="7"/>
  </w:num>
  <w:num w:numId="29" w16cid:durableId="1292327339">
    <w:abstractNumId w:val="11"/>
  </w:num>
  <w:num w:numId="30" w16cid:durableId="990137215">
    <w:abstractNumId w:val="31"/>
  </w:num>
  <w:num w:numId="31" w16cid:durableId="205723799">
    <w:abstractNumId w:val="16"/>
  </w:num>
  <w:num w:numId="32" w16cid:durableId="198394202">
    <w:abstractNumId w:val="0"/>
  </w:num>
  <w:num w:numId="33" w16cid:durableId="1820875262">
    <w:abstractNumId w:val="19"/>
  </w:num>
  <w:num w:numId="34" w16cid:durableId="915944720">
    <w:abstractNumId w:val="18"/>
  </w:num>
  <w:num w:numId="35" w16cid:durableId="1738631220">
    <w:abstractNumId w:val="5"/>
  </w:num>
  <w:num w:numId="36" w16cid:durableId="1726876376">
    <w:abstractNumId w:val="37"/>
  </w:num>
  <w:num w:numId="37" w16cid:durableId="1155222755">
    <w:abstractNumId w:val="32"/>
  </w:num>
  <w:num w:numId="38" w16cid:durableId="1891913247">
    <w:abstractNumId w:val="35"/>
  </w:num>
  <w:num w:numId="39" w16cid:durableId="1166478955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4BB2"/>
    <w:rsid w:val="00006303"/>
    <w:rsid w:val="0000759C"/>
    <w:rsid w:val="00013373"/>
    <w:rsid w:val="000219BC"/>
    <w:rsid w:val="000257AB"/>
    <w:rsid w:val="00027E8F"/>
    <w:rsid w:val="00030AC9"/>
    <w:rsid w:val="00031A4E"/>
    <w:rsid w:val="0003285F"/>
    <w:rsid w:val="00032A5C"/>
    <w:rsid w:val="00033B12"/>
    <w:rsid w:val="00041C7F"/>
    <w:rsid w:val="000459E0"/>
    <w:rsid w:val="0004627C"/>
    <w:rsid w:val="00047CBE"/>
    <w:rsid w:val="00050B9A"/>
    <w:rsid w:val="00052013"/>
    <w:rsid w:val="00052E54"/>
    <w:rsid w:val="000555E7"/>
    <w:rsid w:val="00055F1B"/>
    <w:rsid w:val="000562CB"/>
    <w:rsid w:val="000570B8"/>
    <w:rsid w:val="00063D28"/>
    <w:rsid w:val="000644D0"/>
    <w:rsid w:val="0006643B"/>
    <w:rsid w:val="00073681"/>
    <w:rsid w:val="0007752F"/>
    <w:rsid w:val="000847E1"/>
    <w:rsid w:val="00092B33"/>
    <w:rsid w:val="000A0F91"/>
    <w:rsid w:val="000B1E59"/>
    <w:rsid w:val="000B2368"/>
    <w:rsid w:val="000B2812"/>
    <w:rsid w:val="000B2828"/>
    <w:rsid w:val="000B45C6"/>
    <w:rsid w:val="000B6B19"/>
    <w:rsid w:val="000B6CA8"/>
    <w:rsid w:val="000C0997"/>
    <w:rsid w:val="000C50F9"/>
    <w:rsid w:val="000C749E"/>
    <w:rsid w:val="000D37D4"/>
    <w:rsid w:val="000D5C34"/>
    <w:rsid w:val="000D6AAA"/>
    <w:rsid w:val="000E0149"/>
    <w:rsid w:val="000E0386"/>
    <w:rsid w:val="000E6588"/>
    <w:rsid w:val="000F1A75"/>
    <w:rsid w:val="000F3C90"/>
    <w:rsid w:val="000F4DD0"/>
    <w:rsid w:val="0010069C"/>
    <w:rsid w:val="00103E05"/>
    <w:rsid w:val="0010738B"/>
    <w:rsid w:val="001075A7"/>
    <w:rsid w:val="00116FF0"/>
    <w:rsid w:val="001171EC"/>
    <w:rsid w:val="00120884"/>
    <w:rsid w:val="00122695"/>
    <w:rsid w:val="0012428E"/>
    <w:rsid w:val="00126936"/>
    <w:rsid w:val="001273DB"/>
    <w:rsid w:val="00127447"/>
    <w:rsid w:val="00130396"/>
    <w:rsid w:val="00131F44"/>
    <w:rsid w:val="001343C6"/>
    <w:rsid w:val="00134ABF"/>
    <w:rsid w:val="00134C95"/>
    <w:rsid w:val="00135555"/>
    <w:rsid w:val="00136E22"/>
    <w:rsid w:val="0014104C"/>
    <w:rsid w:val="00141C25"/>
    <w:rsid w:val="00141F0E"/>
    <w:rsid w:val="001466BF"/>
    <w:rsid w:val="001524D3"/>
    <w:rsid w:val="0015308B"/>
    <w:rsid w:val="001557EE"/>
    <w:rsid w:val="00161203"/>
    <w:rsid w:val="0016637D"/>
    <w:rsid w:val="00166BC0"/>
    <w:rsid w:val="001671B9"/>
    <w:rsid w:val="001674EF"/>
    <w:rsid w:val="00167B06"/>
    <w:rsid w:val="001736B5"/>
    <w:rsid w:val="00175FD9"/>
    <w:rsid w:val="00180E61"/>
    <w:rsid w:val="00186ED5"/>
    <w:rsid w:val="00196AF7"/>
    <w:rsid w:val="00196C82"/>
    <w:rsid w:val="00196E7D"/>
    <w:rsid w:val="00197A7A"/>
    <w:rsid w:val="001A29A8"/>
    <w:rsid w:val="001A4947"/>
    <w:rsid w:val="001B2221"/>
    <w:rsid w:val="001B6467"/>
    <w:rsid w:val="001B6E30"/>
    <w:rsid w:val="001C24BC"/>
    <w:rsid w:val="001C5A44"/>
    <w:rsid w:val="001C6BFD"/>
    <w:rsid w:val="001D0446"/>
    <w:rsid w:val="001D3D5D"/>
    <w:rsid w:val="001D7040"/>
    <w:rsid w:val="001E03DE"/>
    <w:rsid w:val="001E245B"/>
    <w:rsid w:val="001E4E8B"/>
    <w:rsid w:val="001E5081"/>
    <w:rsid w:val="001E72A2"/>
    <w:rsid w:val="001F03FC"/>
    <w:rsid w:val="002057E4"/>
    <w:rsid w:val="00211237"/>
    <w:rsid w:val="00212D2B"/>
    <w:rsid w:val="00217712"/>
    <w:rsid w:val="00221766"/>
    <w:rsid w:val="0022284E"/>
    <w:rsid w:val="00222BA7"/>
    <w:rsid w:val="00225C6A"/>
    <w:rsid w:val="00226E61"/>
    <w:rsid w:val="002275C6"/>
    <w:rsid w:val="00227991"/>
    <w:rsid w:val="00231EF5"/>
    <w:rsid w:val="002327C6"/>
    <w:rsid w:val="00232869"/>
    <w:rsid w:val="002330B9"/>
    <w:rsid w:val="002334B8"/>
    <w:rsid w:val="00236F20"/>
    <w:rsid w:val="0023714F"/>
    <w:rsid w:val="00241BB3"/>
    <w:rsid w:val="002431F3"/>
    <w:rsid w:val="00244766"/>
    <w:rsid w:val="0025716D"/>
    <w:rsid w:val="00264819"/>
    <w:rsid w:val="00264C49"/>
    <w:rsid w:val="00265010"/>
    <w:rsid w:val="00270832"/>
    <w:rsid w:val="00277460"/>
    <w:rsid w:val="0027789C"/>
    <w:rsid w:val="00277EDB"/>
    <w:rsid w:val="00281806"/>
    <w:rsid w:val="0028193B"/>
    <w:rsid w:val="002838F8"/>
    <w:rsid w:val="00285127"/>
    <w:rsid w:val="0028568D"/>
    <w:rsid w:val="00285868"/>
    <w:rsid w:val="00287CDD"/>
    <w:rsid w:val="00287D9E"/>
    <w:rsid w:val="002A06C1"/>
    <w:rsid w:val="002A0869"/>
    <w:rsid w:val="002A0924"/>
    <w:rsid w:val="002A496A"/>
    <w:rsid w:val="002A6482"/>
    <w:rsid w:val="002B000B"/>
    <w:rsid w:val="002B14CB"/>
    <w:rsid w:val="002B16D0"/>
    <w:rsid w:val="002B2974"/>
    <w:rsid w:val="002B485E"/>
    <w:rsid w:val="002B565E"/>
    <w:rsid w:val="002B6D72"/>
    <w:rsid w:val="002C098D"/>
    <w:rsid w:val="002C1DC7"/>
    <w:rsid w:val="002C2516"/>
    <w:rsid w:val="002C50EF"/>
    <w:rsid w:val="002C7446"/>
    <w:rsid w:val="002C786E"/>
    <w:rsid w:val="002D23CB"/>
    <w:rsid w:val="002D2EA1"/>
    <w:rsid w:val="002D311D"/>
    <w:rsid w:val="002D4263"/>
    <w:rsid w:val="002D43A3"/>
    <w:rsid w:val="002D58CA"/>
    <w:rsid w:val="002D6034"/>
    <w:rsid w:val="002D78B5"/>
    <w:rsid w:val="002E3C77"/>
    <w:rsid w:val="002E5E0F"/>
    <w:rsid w:val="002E6290"/>
    <w:rsid w:val="002E644B"/>
    <w:rsid w:val="002E7EB1"/>
    <w:rsid w:val="002F5CF4"/>
    <w:rsid w:val="002F5ED0"/>
    <w:rsid w:val="002F62DB"/>
    <w:rsid w:val="002F69BE"/>
    <w:rsid w:val="002F6F56"/>
    <w:rsid w:val="003004D5"/>
    <w:rsid w:val="00306D49"/>
    <w:rsid w:val="003121F6"/>
    <w:rsid w:val="00317274"/>
    <w:rsid w:val="003202CF"/>
    <w:rsid w:val="00324231"/>
    <w:rsid w:val="00324A17"/>
    <w:rsid w:val="00325320"/>
    <w:rsid w:val="00327733"/>
    <w:rsid w:val="00327782"/>
    <w:rsid w:val="00332171"/>
    <w:rsid w:val="00332E60"/>
    <w:rsid w:val="00333F70"/>
    <w:rsid w:val="00337A7E"/>
    <w:rsid w:val="00343C59"/>
    <w:rsid w:val="003452D4"/>
    <w:rsid w:val="003505DD"/>
    <w:rsid w:val="00353DB3"/>
    <w:rsid w:val="00360AD7"/>
    <w:rsid w:val="00364F79"/>
    <w:rsid w:val="00367493"/>
    <w:rsid w:val="00367DA4"/>
    <w:rsid w:val="00372E93"/>
    <w:rsid w:val="00374E5D"/>
    <w:rsid w:val="00377BEF"/>
    <w:rsid w:val="003809B7"/>
    <w:rsid w:val="00380CF5"/>
    <w:rsid w:val="003854E8"/>
    <w:rsid w:val="00385CD4"/>
    <w:rsid w:val="0039055C"/>
    <w:rsid w:val="00393947"/>
    <w:rsid w:val="003A19FA"/>
    <w:rsid w:val="003A3C22"/>
    <w:rsid w:val="003A610B"/>
    <w:rsid w:val="003A6154"/>
    <w:rsid w:val="003A6488"/>
    <w:rsid w:val="003A6D40"/>
    <w:rsid w:val="003B1EF0"/>
    <w:rsid w:val="003C51B7"/>
    <w:rsid w:val="003C6BFE"/>
    <w:rsid w:val="003C6E0D"/>
    <w:rsid w:val="003D0CC1"/>
    <w:rsid w:val="003D1752"/>
    <w:rsid w:val="003D222F"/>
    <w:rsid w:val="003D2E25"/>
    <w:rsid w:val="003D63C5"/>
    <w:rsid w:val="003E0A9F"/>
    <w:rsid w:val="003E186A"/>
    <w:rsid w:val="003F0B91"/>
    <w:rsid w:val="003F1D1F"/>
    <w:rsid w:val="003F242A"/>
    <w:rsid w:val="00401B0C"/>
    <w:rsid w:val="00402535"/>
    <w:rsid w:val="00407E0E"/>
    <w:rsid w:val="00411A5E"/>
    <w:rsid w:val="0041503A"/>
    <w:rsid w:val="004154FA"/>
    <w:rsid w:val="0041695D"/>
    <w:rsid w:val="00417521"/>
    <w:rsid w:val="00420FDC"/>
    <w:rsid w:val="0042146F"/>
    <w:rsid w:val="004218DF"/>
    <w:rsid w:val="00421A60"/>
    <w:rsid w:val="004238C4"/>
    <w:rsid w:val="00434DA4"/>
    <w:rsid w:val="004407BF"/>
    <w:rsid w:val="00442DC4"/>
    <w:rsid w:val="00443D29"/>
    <w:rsid w:val="00445D95"/>
    <w:rsid w:val="0044617A"/>
    <w:rsid w:val="00450A85"/>
    <w:rsid w:val="004530F9"/>
    <w:rsid w:val="004566EB"/>
    <w:rsid w:val="0045719E"/>
    <w:rsid w:val="004574CE"/>
    <w:rsid w:val="00461085"/>
    <w:rsid w:val="004619DD"/>
    <w:rsid w:val="0046259B"/>
    <w:rsid w:val="004626D7"/>
    <w:rsid w:val="0046390C"/>
    <w:rsid w:val="00463B5C"/>
    <w:rsid w:val="004663F9"/>
    <w:rsid w:val="0046781C"/>
    <w:rsid w:val="00470244"/>
    <w:rsid w:val="004720BD"/>
    <w:rsid w:val="00473F3A"/>
    <w:rsid w:val="00474CBC"/>
    <w:rsid w:val="00475F09"/>
    <w:rsid w:val="004831AC"/>
    <w:rsid w:val="00492717"/>
    <w:rsid w:val="004A4DA8"/>
    <w:rsid w:val="004A4E72"/>
    <w:rsid w:val="004A576C"/>
    <w:rsid w:val="004B096E"/>
    <w:rsid w:val="004B1874"/>
    <w:rsid w:val="004B1F82"/>
    <w:rsid w:val="004C2D5A"/>
    <w:rsid w:val="004C685F"/>
    <w:rsid w:val="004D1C9E"/>
    <w:rsid w:val="004D3259"/>
    <w:rsid w:val="004D7607"/>
    <w:rsid w:val="004F6390"/>
    <w:rsid w:val="005048D8"/>
    <w:rsid w:val="00504BF1"/>
    <w:rsid w:val="00506CCC"/>
    <w:rsid w:val="00512681"/>
    <w:rsid w:val="00513620"/>
    <w:rsid w:val="005136BD"/>
    <w:rsid w:val="00513F51"/>
    <w:rsid w:val="005176D4"/>
    <w:rsid w:val="005201C3"/>
    <w:rsid w:val="00520648"/>
    <w:rsid w:val="00520A2D"/>
    <w:rsid w:val="00524D2D"/>
    <w:rsid w:val="0053354B"/>
    <w:rsid w:val="00540E1D"/>
    <w:rsid w:val="005418A8"/>
    <w:rsid w:val="00541DE0"/>
    <w:rsid w:val="00542104"/>
    <w:rsid w:val="00542A86"/>
    <w:rsid w:val="00542EC7"/>
    <w:rsid w:val="0054426C"/>
    <w:rsid w:val="00546B75"/>
    <w:rsid w:val="00547DCB"/>
    <w:rsid w:val="00553046"/>
    <w:rsid w:val="005562F7"/>
    <w:rsid w:val="005566AF"/>
    <w:rsid w:val="0056597C"/>
    <w:rsid w:val="0057357A"/>
    <w:rsid w:val="00576D68"/>
    <w:rsid w:val="00577350"/>
    <w:rsid w:val="005809F6"/>
    <w:rsid w:val="00581FEC"/>
    <w:rsid w:val="00583D81"/>
    <w:rsid w:val="00585668"/>
    <w:rsid w:val="00585B2E"/>
    <w:rsid w:val="00591618"/>
    <w:rsid w:val="0059196E"/>
    <w:rsid w:val="00592785"/>
    <w:rsid w:val="00596E2D"/>
    <w:rsid w:val="005A215F"/>
    <w:rsid w:val="005A2B40"/>
    <w:rsid w:val="005A4A87"/>
    <w:rsid w:val="005A6768"/>
    <w:rsid w:val="005A7FB9"/>
    <w:rsid w:val="005B0224"/>
    <w:rsid w:val="005B2869"/>
    <w:rsid w:val="005B3B28"/>
    <w:rsid w:val="005B4740"/>
    <w:rsid w:val="005B4D2B"/>
    <w:rsid w:val="005B4EC0"/>
    <w:rsid w:val="005B54B0"/>
    <w:rsid w:val="005B58C4"/>
    <w:rsid w:val="005B5E50"/>
    <w:rsid w:val="005B78E1"/>
    <w:rsid w:val="005C2C49"/>
    <w:rsid w:val="005C6EB5"/>
    <w:rsid w:val="005D421F"/>
    <w:rsid w:val="005D6377"/>
    <w:rsid w:val="005D7B52"/>
    <w:rsid w:val="005E1D26"/>
    <w:rsid w:val="005E1E42"/>
    <w:rsid w:val="005E412E"/>
    <w:rsid w:val="005E5C49"/>
    <w:rsid w:val="005E71C4"/>
    <w:rsid w:val="005E77E5"/>
    <w:rsid w:val="005E7FE7"/>
    <w:rsid w:val="00601A38"/>
    <w:rsid w:val="00601F7D"/>
    <w:rsid w:val="0060327E"/>
    <w:rsid w:val="00603A84"/>
    <w:rsid w:val="00605144"/>
    <w:rsid w:val="006076D4"/>
    <w:rsid w:val="00611D51"/>
    <w:rsid w:val="0061710F"/>
    <w:rsid w:val="00617C55"/>
    <w:rsid w:val="00621EE6"/>
    <w:rsid w:val="00622BF2"/>
    <w:rsid w:val="0062331A"/>
    <w:rsid w:val="00624EE1"/>
    <w:rsid w:val="006267A8"/>
    <w:rsid w:val="00626F97"/>
    <w:rsid w:val="006304AA"/>
    <w:rsid w:val="00630CA3"/>
    <w:rsid w:val="00630CC7"/>
    <w:rsid w:val="006359B4"/>
    <w:rsid w:val="00640105"/>
    <w:rsid w:val="00641E92"/>
    <w:rsid w:val="00643B18"/>
    <w:rsid w:val="00643FDD"/>
    <w:rsid w:val="00644E0E"/>
    <w:rsid w:val="00650E1A"/>
    <w:rsid w:val="0065253A"/>
    <w:rsid w:val="00654E54"/>
    <w:rsid w:val="00660D34"/>
    <w:rsid w:val="00661561"/>
    <w:rsid w:val="00663ECE"/>
    <w:rsid w:val="006660C4"/>
    <w:rsid w:val="006662D5"/>
    <w:rsid w:val="006678A3"/>
    <w:rsid w:val="00667905"/>
    <w:rsid w:val="00667ED2"/>
    <w:rsid w:val="00670226"/>
    <w:rsid w:val="00674D94"/>
    <w:rsid w:val="00677FC9"/>
    <w:rsid w:val="0068094B"/>
    <w:rsid w:val="00682893"/>
    <w:rsid w:val="00683685"/>
    <w:rsid w:val="00683DD9"/>
    <w:rsid w:val="006844EE"/>
    <w:rsid w:val="006869B7"/>
    <w:rsid w:val="00690C8B"/>
    <w:rsid w:val="006912E6"/>
    <w:rsid w:val="00692A32"/>
    <w:rsid w:val="006936F9"/>
    <w:rsid w:val="00696163"/>
    <w:rsid w:val="006978E1"/>
    <w:rsid w:val="006A61F3"/>
    <w:rsid w:val="006B0E2D"/>
    <w:rsid w:val="006B3222"/>
    <w:rsid w:val="006B39B2"/>
    <w:rsid w:val="006B63B8"/>
    <w:rsid w:val="006B68B3"/>
    <w:rsid w:val="006C0482"/>
    <w:rsid w:val="006C7DCC"/>
    <w:rsid w:val="006D0E79"/>
    <w:rsid w:val="006D5435"/>
    <w:rsid w:val="006D586D"/>
    <w:rsid w:val="006D5BD8"/>
    <w:rsid w:val="006D5F95"/>
    <w:rsid w:val="006D7D7B"/>
    <w:rsid w:val="006E0CF9"/>
    <w:rsid w:val="006E42D3"/>
    <w:rsid w:val="006E4769"/>
    <w:rsid w:val="006E4D56"/>
    <w:rsid w:val="006F1952"/>
    <w:rsid w:val="006F277F"/>
    <w:rsid w:val="007008A7"/>
    <w:rsid w:val="00701645"/>
    <w:rsid w:val="00705A76"/>
    <w:rsid w:val="00706991"/>
    <w:rsid w:val="007102E7"/>
    <w:rsid w:val="00712E37"/>
    <w:rsid w:val="00713F00"/>
    <w:rsid w:val="00714F66"/>
    <w:rsid w:val="007178CB"/>
    <w:rsid w:val="00720F74"/>
    <w:rsid w:val="00721277"/>
    <w:rsid w:val="0072366E"/>
    <w:rsid w:val="00730CB6"/>
    <w:rsid w:val="0073196B"/>
    <w:rsid w:val="00732414"/>
    <w:rsid w:val="00742102"/>
    <w:rsid w:val="007476FE"/>
    <w:rsid w:val="00754503"/>
    <w:rsid w:val="00754A00"/>
    <w:rsid w:val="00755BE0"/>
    <w:rsid w:val="0076148D"/>
    <w:rsid w:val="0076218A"/>
    <w:rsid w:val="00766549"/>
    <w:rsid w:val="00767521"/>
    <w:rsid w:val="00771449"/>
    <w:rsid w:val="00771474"/>
    <w:rsid w:val="00772F9D"/>
    <w:rsid w:val="00774C6C"/>
    <w:rsid w:val="007763E6"/>
    <w:rsid w:val="00780252"/>
    <w:rsid w:val="007836B3"/>
    <w:rsid w:val="00783FA8"/>
    <w:rsid w:val="00787654"/>
    <w:rsid w:val="00793D93"/>
    <w:rsid w:val="007A489D"/>
    <w:rsid w:val="007A506C"/>
    <w:rsid w:val="007A60D3"/>
    <w:rsid w:val="007A6648"/>
    <w:rsid w:val="007B07F3"/>
    <w:rsid w:val="007B404D"/>
    <w:rsid w:val="007B5D0D"/>
    <w:rsid w:val="007B71E6"/>
    <w:rsid w:val="007C0FF8"/>
    <w:rsid w:val="007C2C08"/>
    <w:rsid w:val="007C3345"/>
    <w:rsid w:val="007D122B"/>
    <w:rsid w:val="007D145D"/>
    <w:rsid w:val="007D5ECB"/>
    <w:rsid w:val="007E3838"/>
    <w:rsid w:val="007E4A56"/>
    <w:rsid w:val="007E64AB"/>
    <w:rsid w:val="007E659D"/>
    <w:rsid w:val="007E7BD6"/>
    <w:rsid w:val="007F0D07"/>
    <w:rsid w:val="007F11D7"/>
    <w:rsid w:val="007F22AD"/>
    <w:rsid w:val="007F392C"/>
    <w:rsid w:val="007F6324"/>
    <w:rsid w:val="00801270"/>
    <w:rsid w:val="0080136B"/>
    <w:rsid w:val="00803E4F"/>
    <w:rsid w:val="00805C27"/>
    <w:rsid w:val="0081195D"/>
    <w:rsid w:val="00811FAA"/>
    <w:rsid w:val="00813B35"/>
    <w:rsid w:val="008178DE"/>
    <w:rsid w:val="00817EF2"/>
    <w:rsid w:val="0082098F"/>
    <w:rsid w:val="00821FBC"/>
    <w:rsid w:val="0082765B"/>
    <w:rsid w:val="008348BC"/>
    <w:rsid w:val="00835598"/>
    <w:rsid w:val="00837261"/>
    <w:rsid w:val="00837624"/>
    <w:rsid w:val="00837E54"/>
    <w:rsid w:val="008409E5"/>
    <w:rsid w:val="00840C9F"/>
    <w:rsid w:val="00845E57"/>
    <w:rsid w:val="0084707E"/>
    <w:rsid w:val="008502BA"/>
    <w:rsid w:val="00851346"/>
    <w:rsid w:val="00851ABF"/>
    <w:rsid w:val="008524EF"/>
    <w:rsid w:val="008561BF"/>
    <w:rsid w:val="00857B88"/>
    <w:rsid w:val="00861968"/>
    <w:rsid w:val="008641A4"/>
    <w:rsid w:val="008649F3"/>
    <w:rsid w:val="0086606F"/>
    <w:rsid w:val="00870950"/>
    <w:rsid w:val="0087120C"/>
    <w:rsid w:val="008712A4"/>
    <w:rsid w:val="00880D41"/>
    <w:rsid w:val="008906E9"/>
    <w:rsid w:val="00890769"/>
    <w:rsid w:val="00894642"/>
    <w:rsid w:val="00894A7E"/>
    <w:rsid w:val="008A06D2"/>
    <w:rsid w:val="008A209C"/>
    <w:rsid w:val="008A5FAD"/>
    <w:rsid w:val="008A7B28"/>
    <w:rsid w:val="008B0323"/>
    <w:rsid w:val="008B0CD1"/>
    <w:rsid w:val="008B25B7"/>
    <w:rsid w:val="008B61B4"/>
    <w:rsid w:val="008C01A5"/>
    <w:rsid w:val="008C272D"/>
    <w:rsid w:val="008C341B"/>
    <w:rsid w:val="008C5990"/>
    <w:rsid w:val="008D0C96"/>
    <w:rsid w:val="008D1640"/>
    <w:rsid w:val="008D357D"/>
    <w:rsid w:val="008D3A31"/>
    <w:rsid w:val="008D6144"/>
    <w:rsid w:val="008D61E1"/>
    <w:rsid w:val="008D6D7B"/>
    <w:rsid w:val="008E1D3B"/>
    <w:rsid w:val="008E466B"/>
    <w:rsid w:val="008F020B"/>
    <w:rsid w:val="008F043F"/>
    <w:rsid w:val="008F5A16"/>
    <w:rsid w:val="008F7595"/>
    <w:rsid w:val="008F79F3"/>
    <w:rsid w:val="00904153"/>
    <w:rsid w:val="00904C65"/>
    <w:rsid w:val="0091019B"/>
    <w:rsid w:val="00913338"/>
    <w:rsid w:val="00914860"/>
    <w:rsid w:val="00917B2A"/>
    <w:rsid w:val="0092123D"/>
    <w:rsid w:val="00924D6E"/>
    <w:rsid w:val="00925BE0"/>
    <w:rsid w:val="00925FF4"/>
    <w:rsid w:val="009274C9"/>
    <w:rsid w:val="009365D8"/>
    <w:rsid w:val="00937594"/>
    <w:rsid w:val="00937EC8"/>
    <w:rsid w:val="00940CC8"/>
    <w:rsid w:val="00942F16"/>
    <w:rsid w:val="00944756"/>
    <w:rsid w:val="00950A1D"/>
    <w:rsid w:val="00954B85"/>
    <w:rsid w:val="00954C8A"/>
    <w:rsid w:val="009564AB"/>
    <w:rsid w:val="00961C10"/>
    <w:rsid w:val="009644AD"/>
    <w:rsid w:val="009701B8"/>
    <w:rsid w:val="009704E4"/>
    <w:rsid w:val="00971021"/>
    <w:rsid w:val="0097239B"/>
    <w:rsid w:val="00975727"/>
    <w:rsid w:val="0097782B"/>
    <w:rsid w:val="00983D0C"/>
    <w:rsid w:val="00984128"/>
    <w:rsid w:val="009848D9"/>
    <w:rsid w:val="00986147"/>
    <w:rsid w:val="00991BCA"/>
    <w:rsid w:val="0099377C"/>
    <w:rsid w:val="00996B28"/>
    <w:rsid w:val="0099707F"/>
    <w:rsid w:val="009A1342"/>
    <w:rsid w:val="009A1A26"/>
    <w:rsid w:val="009A406D"/>
    <w:rsid w:val="009A41F5"/>
    <w:rsid w:val="009A6127"/>
    <w:rsid w:val="009B0E41"/>
    <w:rsid w:val="009B1701"/>
    <w:rsid w:val="009B1F29"/>
    <w:rsid w:val="009B2AD2"/>
    <w:rsid w:val="009B44A0"/>
    <w:rsid w:val="009C152C"/>
    <w:rsid w:val="009C499A"/>
    <w:rsid w:val="009D3BFE"/>
    <w:rsid w:val="009D3C5B"/>
    <w:rsid w:val="009E26A9"/>
    <w:rsid w:val="009E7FF0"/>
    <w:rsid w:val="009F1C07"/>
    <w:rsid w:val="009F21EF"/>
    <w:rsid w:val="009F28E6"/>
    <w:rsid w:val="009F3026"/>
    <w:rsid w:val="009F320C"/>
    <w:rsid w:val="00A00CDD"/>
    <w:rsid w:val="00A023D3"/>
    <w:rsid w:val="00A029CF"/>
    <w:rsid w:val="00A1168F"/>
    <w:rsid w:val="00A15538"/>
    <w:rsid w:val="00A16532"/>
    <w:rsid w:val="00A206FD"/>
    <w:rsid w:val="00A23B94"/>
    <w:rsid w:val="00A248F1"/>
    <w:rsid w:val="00A2588B"/>
    <w:rsid w:val="00A26391"/>
    <w:rsid w:val="00A278A4"/>
    <w:rsid w:val="00A3076D"/>
    <w:rsid w:val="00A32733"/>
    <w:rsid w:val="00A345D1"/>
    <w:rsid w:val="00A364F1"/>
    <w:rsid w:val="00A376D7"/>
    <w:rsid w:val="00A43116"/>
    <w:rsid w:val="00A44107"/>
    <w:rsid w:val="00A478EF"/>
    <w:rsid w:val="00A50853"/>
    <w:rsid w:val="00A53103"/>
    <w:rsid w:val="00A56D42"/>
    <w:rsid w:val="00A60FBF"/>
    <w:rsid w:val="00A647BA"/>
    <w:rsid w:val="00A77460"/>
    <w:rsid w:val="00A7786A"/>
    <w:rsid w:val="00A82602"/>
    <w:rsid w:val="00A90059"/>
    <w:rsid w:val="00A94229"/>
    <w:rsid w:val="00A97FA0"/>
    <w:rsid w:val="00AA1295"/>
    <w:rsid w:val="00AA4B0A"/>
    <w:rsid w:val="00AA6473"/>
    <w:rsid w:val="00AB0C04"/>
    <w:rsid w:val="00AB503D"/>
    <w:rsid w:val="00AB542E"/>
    <w:rsid w:val="00AB5B73"/>
    <w:rsid w:val="00AB61AE"/>
    <w:rsid w:val="00AB6D0D"/>
    <w:rsid w:val="00AB6DB8"/>
    <w:rsid w:val="00AB7675"/>
    <w:rsid w:val="00AC0AB0"/>
    <w:rsid w:val="00AC54C5"/>
    <w:rsid w:val="00AD01AC"/>
    <w:rsid w:val="00AD2BB8"/>
    <w:rsid w:val="00AD3612"/>
    <w:rsid w:val="00AD6160"/>
    <w:rsid w:val="00AE1FEB"/>
    <w:rsid w:val="00AE24AE"/>
    <w:rsid w:val="00AE3A79"/>
    <w:rsid w:val="00AF45E5"/>
    <w:rsid w:val="00AF7CA2"/>
    <w:rsid w:val="00B078A6"/>
    <w:rsid w:val="00B10096"/>
    <w:rsid w:val="00B13390"/>
    <w:rsid w:val="00B156EB"/>
    <w:rsid w:val="00B17ABA"/>
    <w:rsid w:val="00B2156C"/>
    <w:rsid w:val="00B2253B"/>
    <w:rsid w:val="00B229E7"/>
    <w:rsid w:val="00B25AB4"/>
    <w:rsid w:val="00B32E5D"/>
    <w:rsid w:val="00B3348A"/>
    <w:rsid w:val="00B33A32"/>
    <w:rsid w:val="00B33C5B"/>
    <w:rsid w:val="00B37949"/>
    <w:rsid w:val="00B408B7"/>
    <w:rsid w:val="00B415FA"/>
    <w:rsid w:val="00B42CB7"/>
    <w:rsid w:val="00B43867"/>
    <w:rsid w:val="00B43E53"/>
    <w:rsid w:val="00B448E3"/>
    <w:rsid w:val="00B468FF"/>
    <w:rsid w:val="00B57825"/>
    <w:rsid w:val="00B57B52"/>
    <w:rsid w:val="00B60B21"/>
    <w:rsid w:val="00B62439"/>
    <w:rsid w:val="00B63342"/>
    <w:rsid w:val="00B63C25"/>
    <w:rsid w:val="00B86518"/>
    <w:rsid w:val="00B87949"/>
    <w:rsid w:val="00B90584"/>
    <w:rsid w:val="00B94073"/>
    <w:rsid w:val="00B95A53"/>
    <w:rsid w:val="00BA03F4"/>
    <w:rsid w:val="00BA7E9F"/>
    <w:rsid w:val="00BB1789"/>
    <w:rsid w:val="00BB69E2"/>
    <w:rsid w:val="00BB7945"/>
    <w:rsid w:val="00BC6726"/>
    <w:rsid w:val="00BE4FC0"/>
    <w:rsid w:val="00BE5DC1"/>
    <w:rsid w:val="00BF0DB4"/>
    <w:rsid w:val="00BF2425"/>
    <w:rsid w:val="00BF2D3F"/>
    <w:rsid w:val="00BF2D7F"/>
    <w:rsid w:val="00BF57DE"/>
    <w:rsid w:val="00BF58DD"/>
    <w:rsid w:val="00C111D2"/>
    <w:rsid w:val="00C1291D"/>
    <w:rsid w:val="00C145D7"/>
    <w:rsid w:val="00C164EB"/>
    <w:rsid w:val="00C2358A"/>
    <w:rsid w:val="00C32D15"/>
    <w:rsid w:val="00C32D2F"/>
    <w:rsid w:val="00C33D39"/>
    <w:rsid w:val="00C34B55"/>
    <w:rsid w:val="00C35810"/>
    <w:rsid w:val="00C37D1A"/>
    <w:rsid w:val="00C4184F"/>
    <w:rsid w:val="00C42DCB"/>
    <w:rsid w:val="00C44E55"/>
    <w:rsid w:val="00C53511"/>
    <w:rsid w:val="00C5552A"/>
    <w:rsid w:val="00C56261"/>
    <w:rsid w:val="00C57FB9"/>
    <w:rsid w:val="00C662FA"/>
    <w:rsid w:val="00C6685B"/>
    <w:rsid w:val="00C7111B"/>
    <w:rsid w:val="00C714D8"/>
    <w:rsid w:val="00C74F10"/>
    <w:rsid w:val="00C762B8"/>
    <w:rsid w:val="00C800F8"/>
    <w:rsid w:val="00C80655"/>
    <w:rsid w:val="00C84A5D"/>
    <w:rsid w:val="00C86FB2"/>
    <w:rsid w:val="00C876C6"/>
    <w:rsid w:val="00C9005D"/>
    <w:rsid w:val="00C95BC0"/>
    <w:rsid w:val="00C9660A"/>
    <w:rsid w:val="00CA1DE4"/>
    <w:rsid w:val="00CA1ED5"/>
    <w:rsid w:val="00CA268E"/>
    <w:rsid w:val="00CB6589"/>
    <w:rsid w:val="00CB79B5"/>
    <w:rsid w:val="00CC0371"/>
    <w:rsid w:val="00CC2238"/>
    <w:rsid w:val="00CC35C6"/>
    <w:rsid w:val="00CC45B7"/>
    <w:rsid w:val="00CC5143"/>
    <w:rsid w:val="00CC5CDA"/>
    <w:rsid w:val="00CC6EC5"/>
    <w:rsid w:val="00CD177F"/>
    <w:rsid w:val="00CD33A3"/>
    <w:rsid w:val="00CD488D"/>
    <w:rsid w:val="00CE1606"/>
    <w:rsid w:val="00CE2E9E"/>
    <w:rsid w:val="00CF1354"/>
    <w:rsid w:val="00CF1CE3"/>
    <w:rsid w:val="00CF2E08"/>
    <w:rsid w:val="00CF55D4"/>
    <w:rsid w:val="00CF62C4"/>
    <w:rsid w:val="00CF6A64"/>
    <w:rsid w:val="00D0119B"/>
    <w:rsid w:val="00D043CD"/>
    <w:rsid w:val="00D05A7C"/>
    <w:rsid w:val="00D068FC"/>
    <w:rsid w:val="00D077FF"/>
    <w:rsid w:val="00D11E28"/>
    <w:rsid w:val="00D12FCB"/>
    <w:rsid w:val="00D148B4"/>
    <w:rsid w:val="00D15E9F"/>
    <w:rsid w:val="00D205D5"/>
    <w:rsid w:val="00D208C1"/>
    <w:rsid w:val="00D26DEB"/>
    <w:rsid w:val="00D3017A"/>
    <w:rsid w:val="00D310DA"/>
    <w:rsid w:val="00D31540"/>
    <w:rsid w:val="00D37E41"/>
    <w:rsid w:val="00D52970"/>
    <w:rsid w:val="00D52A75"/>
    <w:rsid w:val="00D53F7B"/>
    <w:rsid w:val="00D54305"/>
    <w:rsid w:val="00D55738"/>
    <w:rsid w:val="00D57299"/>
    <w:rsid w:val="00D63A6C"/>
    <w:rsid w:val="00D70671"/>
    <w:rsid w:val="00D76A2A"/>
    <w:rsid w:val="00D8040A"/>
    <w:rsid w:val="00D813B0"/>
    <w:rsid w:val="00D8631D"/>
    <w:rsid w:val="00D92304"/>
    <w:rsid w:val="00DA1EBA"/>
    <w:rsid w:val="00DA1F87"/>
    <w:rsid w:val="00DA7400"/>
    <w:rsid w:val="00DB03F8"/>
    <w:rsid w:val="00DB0BC6"/>
    <w:rsid w:val="00DB164F"/>
    <w:rsid w:val="00DB4071"/>
    <w:rsid w:val="00DB5F62"/>
    <w:rsid w:val="00DB7EC3"/>
    <w:rsid w:val="00DC21C0"/>
    <w:rsid w:val="00DC3506"/>
    <w:rsid w:val="00DC428E"/>
    <w:rsid w:val="00DD7CD0"/>
    <w:rsid w:val="00DE00DE"/>
    <w:rsid w:val="00DE1F6A"/>
    <w:rsid w:val="00DE5796"/>
    <w:rsid w:val="00DE5A5C"/>
    <w:rsid w:val="00DF102C"/>
    <w:rsid w:val="00DF3E98"/>
    <w:rsid w:val="00DF54B5"/>
    <w:rsid w:val="00E00383"/>
    <w:rsid w:val="00E03FDE"/>
    <w:rsid w:val="00E07BC7"/>
    <w:rsid w:val="00E11F50"/>
    <w:rsid w:val="00E12B38"/>
    <w:rsid w:val="00E135FF"/>
    <w:rsid w:val="00E139DF"/>
    <w:rsid w:val="00E241F6"/>
    <w:rsid w:val="00E31AB6"/>
    <w:rsid w:val="00E3218B"/>
    <w:rsid w:val="00E337D8"/>
    <w:rsid w:val="00E34627"/>
    <w:rsid w:val="00E41B77"/>
    <w:rsid w:val="00E42779"/>
    <w:rsid w:val="00E446CB"/>
    <w:rsid w:val="00E61129"/>
    <w:rsid w:val="00E61EFC"/>
    <w:rsid w:val="00E63EE4"/>
    <w:rsid w:val="00E661B2"/>
    <w:rsid w:val="00E710B2"/>
    <w:rsid w:val="00E7116A"/>
    <w:rsid w:val="00E7140B"/>
    <w:rsid w:val="00E71F5F"/>
    <w:rsid w:val="00E73EC3"/>
    <w:rsid w:val="00E81A0A"/>
    <w:rsid w:val="00E8339A"/>
    <w:rsid w:val="00E83BD8"/>
    <w:rsid w:val="00E845FF"/>
    <w:rsid w:val="00E85DB8"/>
    <w:rsid w:val="00E90D9A"/>
    <w:rsid w:val="00E925C8"/>
    <w:rsid w:val="00E94153"/>
    <w:rsid w:val="00E95448"/>
    <w:rsid w:val="00E976F8"/>
    <w:rsid w:val="00EA4DAB"/>
    <w:rsid w:val="00EA5B1B"/>
    <w:rsid w:val="00EA5E6B"/>
    <w:rsid w:val="00EB2851"/>
    <w:rsid w:val="00EB3E48"/>
    <w:rsid w:val="00EB60FE"/>
    <w:rsid w:val="00EB66CB"/>
    <w:rsid w:val="00EB7AC4"/>
    <w:rsid w:val="00EC319F"/>
    <w:rsid w:val="00EC5848"/>
    <w:rsid w:val="00EC65C2"/>
    <w:rsid w:val="00EC6BB8"/>
    <w:rsid w:val="00EC73AA"/>
    <w:rsid w:val="00EC785A"/>
    <w:rsid w:val="00ED0CC9"/>
    <w:rsid w:val="00ED1978"/>
    <w:rsid w:val="00ED4FEE"/>
    <w:rsid w:val="00EE0DDB"/>
    <w:rsid w:val="00EE240A"/>
    <w:rsid w:val="00EF358B"/>
    <w:rsid w:val="00EF638F"/>
    <w:rsid w:val="00EF7E32"/>
    <w:rsid w:val="00F004ED"/>
    <w:rsid w:val="00F01617"/>
    <w:rsid w:val="00F04250"/>
    <w:rsid w:val="00F0478E"/>
    <w:rsid w:val="00F0521A"/>
    <w:rsid w:val="00F06999"/>
    <w:rsid w:val="00F11B42"/>
    <w:rsid w:val="00F17757"/>
    <w:rsid w:val="00F17896"/>
    <w:rsid w:val="00F22D25"/>
    <w:rsid w:val="00F22DB3"/>
    <w:rsid w:val="00F250E5"/>
    <w:rsid w:val="00F256B3"/>
    <w:rsid w:val="00F269CC"/>
    <w:rsid w:val="00F32A45"/>
    <w:rsid w:val="00F37EFD"/>
    <w:rsid w:val="00F40C3E"/>
    <w:rsid w:val="00F40C41"/>
    <w:rsid w:val="00F41A07"/>
    <w:rsid w:val="00F41C71"/>
    <w:rsid w:val="00F45A6B"/>
    <w:rsid w:val="00F503E2"/>
    <w:rsid w:val="00F51418"/>
    <w:rsid w:val="00F53114"/>
    <w:rsid w:val="00F6042C"/>
    <w:rsid w:val="00F6580A"/>
    <w:rsid w:val="00F704C5"/>
    <w:rsid w:val="00F7671C"/>
    <w:rsid w:val="00F77096"/>
    <w:rsid w:val="00F80C80"/>
    <w:rsid w:val="00F8450C"/>
    <w:rsid w:val="00F8500B"/>
    <w:rsid w:val="00F855BA"/>
    <w:rsid w:val="00F86B63"/>
    <w:rsid w:val="00F87979"/>
    <w:rsid w:val="00F87F71"/>
    <w:rsid w:val="00F9208B"/>
    <w:rsid w:val="00F92D33"/>
    <w:rsid w:val="00FA2D07"/>
    <w:rsid w:val="00FA2F1E"/>
    <w:rsid w:val="00FA4D04"/>
    <w:rsid w:val="00FA60EB"/>
    <w:rsid w:val="00FA7345"/>
    <w:rsid w:val="00FB49BE"/>
    <w:rsid w:val="00FB7152"/>
    <w:rsid w:val="00FC0BB4"/>
    <w:rsid w:val="00FC399B"/>
    <w:rsid w:val="00FC68A7"/>
    <w:rsid w:val="00FD034E"/>
    <w:rsid w:val="00FD084C"/>
    <w:rsid w:val="00FD3BE0"/>
    <w:rsid w:val="00FD55CA"/>
    <w:rsid w:val="00FD64CF"/>
    <w:rsid w:val="00FD67DA"/>
    <w:rsid w:val="00FE1A3E"/>
    <w:rsid w:val="00FE5962"/>
    <w:rsid w:val="00FE669F"/>
    <w:rsid w:val="00FF363D"/>
    <w:rsid w:val="00FF4051"/>
    <w:rsid w:val="00FF429E"/>
    <w:rsid w:val="00FF4E45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B6C72"/>
  <w15:chartTrackingRefBased/>
  <w15:docId w15:val="{5EC94E73-714F-4103-A748-14862DA1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52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5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6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8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7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BDCD-C8B8-4134-9056-E819418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2022-05-23T10:48:00Z</cp:lastPrinted>
  <dcterms:created xsi:type="dcterms:W3CDTF">2022-05-23T12:23:00Z</dcterms:created>
  <dcterms:modified xsi:type="dcterms:W3CDTF">2022-05-23T12:23:00Z</dcterms:modified>
</cp:coreProperties>
</file>